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15" w:rsidRPr="00437C59" w:rsidRDefault="00DA5D3B" w:rsidP="001A1F0C">
      <w:pPr>
        <w:widowControl/>
        <w:jc w:val="center"/>
        <w:rPr>
          <w:rFonts w:asciiTheme="minorEastAsia" w:eastAsiaTheme="minorEastAsia" w:hAnsiTheme="minorEastAsia"/>
          <w:b/>
          <w:color w:val="000000"/>
          <w:sz w:val="32"/>
          <w:szCs w:val="32"/>
        </w:rPr>
      </w:pPr>
      <w:r w:rsidRPr="00437C59">
        <w:rPr>
          <w:rFonts w:asciiTheme="minorEastAsia" w:eastAsiaTheme="minorEastAsia" w:hAnsiTheme="minorEastAsia" w:hint="eastAsia"/>
          <w:b/>
          <w:color w:val="000000"/>
          <w:sz w:val="32"/>
          <w:szCs w:val="32"/>
        </w:rPr>
        <w:t xml:space="preserve"> </w:t>
      </w:r>
      <w:r w:rsidR="002C72A6" w:rsidRPr="002C72A6">
        <w:rPr>
          <w:rFonts w:asciiTheme="minorEastAsia" w:eastAsiaTheme="minorEastAsia" w:hAnsiTheme="minorEastAsia" w:hint="eastAsia"/>
          <w:b/>
          <w:color w:val="000000"/>
          <w:sz w:val="32"/>
          <w:szCs w:val="32"/>
        </w:rPr>
        <w:t>中国建设银行云南省分行“乾元-稳赢” (公募) 2019年第1期封闭式净值型人民币</w:t>
      </w:r>
      <w:r w:rsidR="00A22C1A" w:rsidRPr="00437C59">
        <w:rPr>
          <w:rFonts w:asciiTheme="minorEastAsia" w:eastAsiaTheme="minorEastAsia" w:hAnsiTheme="minorEastAsia" w:hint="eastAsia"/>
          <w:b/>
          <w:color w:val="000000"/>
          <w:sz w:val="32"/>
          <w:szCs w:val="32"/>
        </w:rPr>
        <w:t>理财产品</w:t>
      </w:r>
      <w:r w:rsidR="005F3B6B">
        <w:rPr>
          <w:rFonts w:asciiTheme="minorEastAsia" w:eastAsiaTheme="minorEastAsia" w:hAnsiTheme="minorEastAsia" w:hint="eastAsia"/>
          <w:b/>
          <w:color w:val="000000"/>
          <w:sz w:val="32"/>
          <w:szCs w:val="32"/>
        </w:rPr>
        <w:t>2019年</w:t>
      </w:r>
      <w:r w:rsidR="00514B3B">
        <w:rPr>
          <w:rFonts w:asciiTheme="minorEastAsia" w:eastAsiaTheme="minorEastAsia" w:hAnsiTheme="minorEastAsia" w:hint="eastAsia"/>
          <w:b/>
          <w:color w:val="000000"/>
          <w:sz w:val="32"/>
          <w:szCs w:val="32"/>
        </w:rPr>
        <w:t>年度</w:t>
      </w:r>
      <w:r w:rsidR="00747E15" w:rsidRPr="00437C59">
        <w:rPr>
          <w:rFonts w:asciiTheme="minorEastAsia" w:eastAsiaTheme="minorEastAsia" w:hAnsiTheme="minorEastAsia" w:hint="eastAsia"/>
          <w:b/>
          <w:color w:val="000000"/>
          <w:sz w:val="32"/>
          <w:szCs w:val="32"/>
        </w:rPr>
        <w:t>投资管理</w:t>
      </w:r>
      <w:r w:rsidR="00154D69" w:rsidRPr="00437C59">
        <w:rPr>
          <w:rFonts w:asciiTheme="minorEastAsia" w:eastAsiaTheme="minorEastAsia" w:hAnsiTheme="minorEastAsia" w:hint="eastAsia"/>
          <w:b/>
          <w:color w:val="000000"/>
          <w:sz w:val="32"/>
          <w:szCs w:val="32"/>
        </w:rPr>
        <w:t>报</w:t>
      </w:r>
      <w:r w:rsidR="00747E15" w:rsidRPr="00437C59">
        <w:rPr>
          <w:rFonts w:asciiTheme="minorEastAsia" w:eastAsiaTheme="minorEastAsia" w:hAnsiTheme="minorEastAsia" w:hint="eastAsia"/>
          <w:b/>
          <w:color w:val="000000"/>
          <w:sz w:val="32"/>
          <w:szCs w:val="32"/>
        </w:rPr>
        <w:t>告</w:t>
      </w:r>
    </w:p>
    <w:p w:rsidR="00747E15" w:rsidRPr="00437C59" w:rsidRDefault="00747E15" w:rsidP="00C61B7B">
      <w:pPr>
        <w:spacing w:line="480" w:lineRule="exact"/>
        <w:ind w:firstLineChars="200" w:firstLine="420"/>
        <w:jc w:val="center"/>
        <w:rPr>
          <w:rFonts w:asciiTheme="minorEastAsia" w:eastAsiaTheme="minorEastAsia" w:hAnsiTheme="minorEastAsia"/>
          <w:color w:val="000000"/>
          <w:szCs w:val="21"/>
        </w:rPr>
      </w:pPr>
      <w:r w:rsidRPr="00437C59">
        <w:rPr>
          <w:rFonts w:asciiTheme="minorEastAsia" w:eastAsiaTheme="minorEastAsia" w:hAnsiTheme="minorEastAsia" w:hint="eastAsia"/>
          <w:color w:val="000000"/>
          <w:szCs w:val="21"/>
        </w:rPr>
        <w:t>报告日：</w:t>
      </w:r>
      <w:r w:rsidR="002C72A6">
        <w:rPr>
          <w:rFonts w:asciiTheme="minorEastAsia" w:eastAsiaTheme="minorEastAsia" w:hAnsiTheme="minorEastAsia" w:hint="eastAsia"/>
          <w:color w:val="000000"/>
          <w:szCs w:val="21"/>
        </w:rPr>
        <w:t>2019</w:t>
      </w:r>
      <w:r w:rsidRPr="00437C59">
        <w:rPr>
          <w:rFonts w:asciiTheme="minorEastAsia" w:eastAsiaTheme="minorEastAsia" w:hAnsiTheme="minorEastAsia" w:hint="eastAsia"/>
          <w:color w:val="000000"/>
          <w:szCs w:val="21"/>
        </w:rPr>
        <w:t>年</w:t>
      </w:r>
      <w:r w:rsidR="00514B3B">
        <w:rPr>
          <w:rFonts w:asciiTheme="minorEastAsia" w:eastAsiaTheme="minorEastAsia" w:hAnsiTheme="minorEastAsia" w:hint="eastAsia"/>
          <w:color w:val="000000"/>
          <w:szCs w:val="21"/>
        </w:rPr>
        <w:t>12</w:t>
      </w:r>
      <w:r w:rsidRPr="00437C59">
        <w:rPr>
          <w:rFonts w:asciiTheme="minorEastAsia" w:eastAsiaTheme="minorEastAsia" w:hAnsiTheme="minorEastAsia" w:hint="eastAsia"/>
          <w:color w:val="000000"/>
          <w:szCs w:val="21"/>
        </w:rPr>
        <w:t>月</w:t>
      </w:r>
      <w:r w:rsidR="00514B3B">
        <w:rPr>
          <w:rFonts w:asciiTheme="minorEastAsia" w:eastAsiaTheme="minorEastAsia" w:hAnsiTheme="minorEastAsia" w:hint="eastAsia"/>
          <w:color w:val="000000"/>
          <w:szCs w:val="21"/>
        </w:rPr>
        <w:t>31</w:t>
      </w:r>
      <w:r w:rsidRPr="00437C59">
        <w:rPr>
          <w:rFonts w:asciiTheme="minorEastAsia" w:eastAsiaTheme="minorEastAsia" w:hAnsiTheme="minorEastAsia" w:hint="eastAsia"/>
          <w:color w:val="000000"/>
          <w:szCs w:val="21"/>
        </w:rPr>
        <w:t>日</w:t>
      </w:r>
    </w:p>
    <w:p w:rsidR="002F02E2" w:rsidRPr="00437C59" w:rsidRDefault="002C72A6" w:rsidP="002C72A6">
      <w:pPr>
        <w:ind w:firstLineChars="200" w:firstLine="560"/>
        <w:rPr>
          <w:rFonts w:asciiTheme="minorEastAsia" w:eastAsiaTheme="minorEastAsia" w:hAnsiTheme="minorEastAsia"/>
          <w:color w:val="000000"/>
          <w:sz w:val="28"/>
          <w:szCs w:val="28"/>
        </w:rPr>
      </w:pPr>
      <w:r w:rsidRPr="002C72A6">
        <w:rPr>
          <w:rFonts w:asciiTheme="minorEastAsia" w:eastAsiaTheme="minorEastAsia" w:hAnsiTheme="minorEastAsia" w:hint="eastAsia"/>
          <w:color w:val="000000"/>
          <w:sz w:val="28"/>
          <w:szCs w:val="28"/>
        </w:rPr>
        <w:t>中国建设银行云南省分行“乾元-稳赢” (公募) 2019年第1期封闭式净值型人民币</w:t>
      </w:r>
      <w:r w:rsidR="00A22C1A" w:rsidRPr="00437C59">
        <w:rPr>
          <w:rFonts w:asciiTheme="minorEastAsia" w:eastAsiaTheme="minorEastAsia" w:hAnsiTheme="minorEastAsia" w:hint="eastAsia"/>
          <w:color w:val="000000"/>
          <w:sz w:val="28"/>
          <w:szCs w:val="28"/>
        </w:rPr>
        <w:t>理财产品</w:t>
      </w:r>
      <w:r w:rsidR="00747E15" w:rsidRPr="00437C59">
        <w:rPr>
          <w:rFonts w:asciiTheme="minorEastAsia" w:eastAsiaTheme="minorEastAsia" w:hAnsiTheme="minorEastAsia" w:hint="eastAsia"/>
          <w:color w:val="000000"/>
          <w:sz w:val="28"/>
          <w:szCs w:val="28"/>
        </w:rPr>
        <w:t>于</w:t>
      </w:r>
      <w:r>
        <w:rPr>
          <w:rFonts w:asciiTheme="minorEastAsia" w:eastAsiaTheme="minorEastAsia" w:hAnsiTheme="minorEastAsia" w:hint="eastAsia"/>
          <w:color w:val="000000"/>
          <w:sz w:val="28"/>
          <w:szCs w:val="28"/>
        </w:rPr>
        <w:t>2019</w:t>
      </w:r>
      <w:r w:rsidR="00E31B0A" w:rsidRPr="00E31B0A">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8</w:t>
      </w:r>
      <w:r w:rsidR="00E31B0A" w:rsidRPr="00E31B0A">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30</w:t>
      </w:r>
      <w:r w:rsidR="00E31B0A" w:rsidRPr="00E31B0A">
        <w:rPr>
          <w:rFonts w:asciiTheme="minorEastAsia" w:eastAsiaTheme="minorEastAsia" w:hAnsiTheme="minorEastAsia" w:hint="eastAsia"/>
          <w:color w:val="000000"/>
          <w:sz w:val="28"/>
          <w:szCs w:val="28"/>
        </w:rPr>
        <w:t>日</w:t>
      </w:r>
      <w:r w:rsidR="00747E15" w:rsidRPr="00437C59">
        <w:rPr>
          <w:rFonts w:asciiTheme="minorEastAsia" w:eastAsiaTheme="minorEastAsia" w:hAnsiTheme="minorEastAsia" w:hint="eastAsia"/>
          <w:color w:val="000000"/>
          <w:sz w:val="28"/>
          <w:szCs w:val="28"/>
        </w:rPr>
        <w:t>正式成立。截至报告日，本产品规模为</w:t>
      </w:r>
      <w:r w:rsidR="003E34C4" w:rsidRPr="003E34C4">
        <w:rPr>
          <w:rFonts w:asciiTheme="minorEastAsia" w:eastAsiaTheme="minorEastAsia" w:hAnsiTheme="minorEastAsia"/>
          <w:color w:val="000000"/>
          <w:sz w:val="28"/>
          <w:szCs w:val="28"/>
        </w:rPr>
        <w:t>304083431.22</w:t>
      </w:r>
      <w:r w:rsidR="00747E15" w:rsidRPr="00437C59">
        <w:rPr>
          <w:rFonts w:asciiTheme="minorEastAsia" w:eastAsiaTheme="minorEastAsia" w:hAnsiTheme="minorEastAsia" w:hint="eastAsia"/>
          <w:color w:val="000000"/>
          <w:sz w:val="28"/>
          <w:szCs w:val="28"/>
        </w:rPr>
        <w:t>元</w:t>
      </w:r>
      <w:r w:rsidR="004C54B2">
        <w:rPr>
          <w:rFonts w:asciiTheme="minorEastAsia" w:eastAsiaTheme="minorEastAsia" w:hAnsiTheme="minorEastAsia" w:hint="eastAsia"/>
          <w:color w:val="000000"/>
          <w:sz w:val="28"/>
          <w:szCs w:val="28"/>
        </w:rPr>
        <w:t>，</w:t>
      </w:r>
      <w:r w:rsidR="004C54B2" w:rsidRPr="00FD1228">
        <w:rPr>
          <w:rFonts w:asciiTheme="minorEastAsia" w:eastAsiaTheme="minorEastAsia" w:hAnsiTheme="minorEastAsia" w:hint="eastAsia"/>
          <w:color w:val="000000"/>
          <w:sz w:val="28"/>
          <w:szCs w:val="28"/>
        </w:rPr>
        <w:t>杠杆水平符合监管要求</w:t>
      </w:r>
      <w:r w:rsidR="00747E15" w:rsidRPr="00FD1228">
        <w:rPr>
          <w:rFonts w:asciiTheme="minorEastAsia" w:eastAsiaTheme="minorEastAsia" w:hAnsiTheme="minorEastAsia" w:hint="eastAsia"/>
          <w:color w:val="000000"/>
          <w:sz w:val="28"/>
          <w:szCs w:val="28"/>
        </w:rPr>
        <w:t>。</w:t>
      </w:r>
      <w:r w:rsidR="002F02E2" w:rsidRPr="00FD1228">
        <w:rPr>
          <w:rFonts w:asciiTheme="minorEastAsia" w:eastAsiaTheme="minorEastAsia" w:hAnsiTheme="minorEastAsia" w:cs="Arial" w:hint="eastAsia"/>
          <w:vanish/>
          <w:kern w:val="0"/>
          <w:sz w:val="16"/>
          <w:szCs w:val="16"/>
        </w:rPr>
        <w:t>窗体顶端</w:t>
      </w:r>
    </w:p>
    <w:p w:rsidR="00747E15" w:rsidRPr="00437C59" w:rsidRDefault="002F02E2" w:rsidP="00C61B7B">
      <w:pPr>
        <w:spacing w:line="480" w:lineRule="exact"/>
        <w:ind w:firstLineChars="200" w:firstLine="320"/>
        <w:outlineLvl w:val="0"/>
        <w:rPr>
          <w:rFonts w:asciiTheme="minorEastAsia" w:eastAsiaTheme="minorEastAsia" w:hAnsiTheme="minorEastAsia"/>
          <w:b/>
          <w:color w:val="000000"/>
          <w:sz w:val="28"/>
          <w:szCs w:val="28"/>
        </w:rPr>
      </w:pPr>
      <w:r w:rsidRPr="00437C59">
        <w:rPr>
          <w:rFonts w:asciiTheme="minorEastAsia" w:eastAsiaTheme="minorEastAsia" w:hAnsiTheme="minorEastAsia" w:cs="Arial" w:hint="eastAsia"/>
          <w:vanish/>
          <w:kern w:val="0"/>
          <w:sz w:val="16"/>
          <w:szCs w:val="16"/>
        </w:rPr>
        <w:t>窗体底端</w:t>
      </w:r>
      <w:r w:rsidR="00747E15" w:rsidRPr="00437C59">
        <w:rPr>
          <w:rFonts w:asciiTheme="minorEastAsia" w:eastAsiaTheme="minorEastAsia" w:hAnsiTheme="minorEastAsia" w:hint="eastAsia"/>
          <w:b/>
          <w:color w:val="000000"/>
          <w:sz w:val="28"/>
          <w:szCs w:val="28"/>
        </w:rPr>
        <w:t>一、报告期投资者实际收益率</w:t>
      </w:r>
    </w:p>
    <w:p w:rsidR="001C51CC" w:rsidRDefault="003D3F6C" w:rsidP="003E4D8B">
      <w:pPr>
        <w:ind w:firstLineChars="200" w:firstLine="560"/>
        <w:jc w:val="left"/>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截至</w:t>
      </w:r>
      <w:r w:rsidR="002C72A6">
        <w:rPr>
          <w:rFonts w:asciiTheme="minorEastAsia" w:eastAsiaTheme="minorEastAsia" w:hAnsiTheme="minorEastAsia" w:hint="eastAsia"/>
          <w:color w:val="000000"/>
          <w:sz w:val="28"/>
          <w:szCs w:val="28"/>
        </w:rPr>
        <w:t>2019</w:t>
      </w:r>
      <w:r w:rsidRPr="00437C59">
        <w:rPr>
          <w:rFonts w:asciiTheme="minorEastAsia" w:eastAsiaTheme="minorEastAsia" w:hAnsiTheme="minorEastAsia" w:hint="eastAsia"/>
          <w:color w:val="000000"/>
          <w:sz w:val="28"/>
          <w:szCs w:val="28"/>
        </w:rPr>
        <w:t>年</w:t>
      </w:r>
      <w:r w:rsidR="003E34C4">
        <w:rPr>
          <w:rFonts w:asciiTheme="minorEastAsia" w:eastAsiaTheme="minorEastAsia" w:hAnsiTheme="minorEastAsia" w:hint="eastAsia"/>
          <w:color w:val="000000"/>
          <w:sz w:val="28"/>
          <w:szCs w:val="28"/>
        </w:rPr>
        <w:t>12</w:t>
      </w:r>
      <w:r w:rsidRPr="00437C59">
        <w:rPr>
          <w:rFonts w:asciiTheme="minorEastAsia" w:eastAsiaTheme="minorEastAsia" w:hAnsiTheme="minorEastAsia" w:hint="eastAsia"/>
          <w:color w:val="000000"/>
          <w:sz w:val="28"/>
          <w:szCs w:val="28"/>
        </w:rPr>
        <w:t>月</w:t>
      </w:r>
      <w:r w:rsidR="003E34C4">
        <w:rPr>
          <w:rFonts w:asciiTheme="minorEastAsia" w:eastAsiaTheme="minorEastAsia" w:hAnsiTheme="minorEastAsia" w:hint="eastAsia"/>
          <w:color w:val="000000"/>
          <w:sz w:val="28"/>
          <w:szCs w:val="28"/>
        </w:rPr>
        <w:t>31</w:t>
      </w:r>
      <w:r w:rsidRPr="00437C59">
        <w:rPr>
          <w:rFonts w:asciiTheme="minorEastAsia" w:eastAsiaTheme="minorEastAsia" w:hAnsiTheme="minorEastAsia" w:hint="eastAsia"/>
          <w:color w:val="000000"/>
          <w:sz w:val="28"/>
          <w:szCs w:val="28"/>
        </w:rPr>
        <w:t>日，产品单位净值为</w:t>
      </w:r>
      <w:r w:rsidR="003E34C4" w:rsidRPr="003E34C4">
        <w:rPr>
          <w:rFonts w:asciiTheme="minorEastAsia" w:eastAsiaTheme="minorEastAsia" w:hAnsiTheme="minorEastAsia"/>
          <w:color w:val="000000"/>
          <w:sz w:val="28"/>
          <w:szCs w:val="28"/>
        </w:rPr>
        <w:t>1.015643</w:t>
      </w:r>
      <w:r w:rsidRPr="00437C59">
        <w:rPr>
          <w:rFonts w:asciiTheme="minorEastAsia" w:eastAsiaTheme="minorEastAsia" w:hAnsiTheme="minorEastAsia" w:hint="eastAsia"/>
          <w:color w:val="000000"/>
          <w:sz w:val="28"/>
          <w:szCs w:val="28"/>
        </w:rPr>
        <w:t>。本报告期内，产品</w:t>
      </w:r>
      <w:r w:rsidR="000B6D04">
        <w:rPr>
          <w:rFonts w:asciiTheme="minorEastAsia" w:eastAsiaTheme="minorEastAsia" w:hAnsiTheme="minorEastAsia" w:hint="eastAsia"/>
          <w:color w:val="000000"/>
          <w:sz w:val="28"/>
          <w:szCs w:val="28"/>
        </w:rPr>
        <w:t>存续规模</w:t>
      </w:r>
      <w:r w:rsidRPr="00437C59">
        <w:rPr>
          <w:rFonts w:asciiTheme="minorEastAsia" w:eastAsiaTheme="minorEastAsia" w:hAnsiTheme="minorEastAsia" w:hint="eastAsia"/>
          <w:color w:val="000000"/>
          <w:sz w:val="28"/>
          <w:szCs w:val="28"/>
        </w:rPr>
        <w:t>如下：</w:t>
      </w:r>
    </w:p>
    <w:tbl>
      <w:tblPr>
        <w:tblW w:w="0" w:type="auto"/>
        <w:jc w:val="center"/>
        <w:tblInd w:w="-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2"/>
        <w:gridCol w:w="1684"/>
        <w:gridCol w:w="1701"/>
        <w:gridCol w:w="1701"/>
      </w:tblGrid>
      <w:tr w:rsidR="00062AD3" w:rsidTr="006965E7">
        <w:trPr>
          <w:trHeight w:val="285"/>
          <w:jc w:val="center"/>
        </w:trPr>
        <w:tc>
          <w:tcPr>
            <w:tcW w:w="3302"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日期</w:t>
            </w:r>
          </w:p>
        </w:tc>
        <w:tc>
          <w:tcPr>
            <w:tcW w:w="1684"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份额净值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累计净值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资产净值</w:t>
            </w:r>
          </w:p>
        </w:tc>
      </w:tr>
      <w:tr w:rsidR="003E34C4" w:rsidTr="00F361FE">
        <w:trPr>
          <w:trHeight w:val="285"/>
          <w:jc w:val="center"/>
        </w:trPr>
        <w:tc>
          <w:tcPr>
            <w:tcW w:w="3302" w:type="dxa"/>
          </w:tcPr>
          <w:p w:rsidR="003E34C4" w:rsidRPr="00DF1029" w:rsidRDefault="003E34C4" w:rsidP="00DF1029">
            <w:pPr>
              <w:spacing w:line="360" w:lineRule="auto"/>
              <w:jc w:val="center"/>
              <w:rPr>
                <w:rFonts w:ascii="宋体" w:hAnsi="宋体" w:cs="宋体" w:hint="eastAsia"/>
                <w:kern w:val="0"/>
              </w:rPr>
            </w:pPr>
            <w:r>
              <w:rPr>
                <w:rFonts w:ascii="宋体" w:hAnsi="宋体" w:cs="宋体" w:hint="eastAsia"/>
                <w:kern w:val="0"/>
              </w:rPr>
              <w:t>2019年12月31日</w:t>
            </w:r>
          </w:p>
        </w:tc>
        <w:tc>
          <w:tcPr>
            <w:tcW w:w="1684"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1.015643</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1.015643</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304083431.22</w:t>
            </w:r>
          </w:p>
        </w:tc>
      </w:tr>
      <w:tr w:rsidR="003E34C4" w:rsidTr="00F361FE">
        <w:trPr>
          <w:trHeight w:val="285"/>
          <w:jc w:val="center"/>
        </w:trPr>
        <w:tc>
          <w:tcPr>
            <w:tcW w:w="3302" w:type="dxa"/>
          </w:tcPr>
          <w:p w:rsidR="003E34C4" w:rsidRPr="00DF1029" w:rsidRDefault="003E34C4" w:rsidP="00DF1029">
            <w:pPr>
              <w:spacing w:line="360" w:lineRule="auto"/>
              <w:jc w:val="center"/>
              <w:rPr>
                <w:rFonts w:ascii="宋体" w:hAnsi="宋体" w:cs="宋体" w:hint="eastAsia"/>
                <w:kern w:val="0"/>
              </w:rPr>
            </w:pPr>
            <w:r>
              <w:rPr>
                <w:rFonts w:ascii="宋体" w:hAnsi="宋体" w:cs="宋体" w:hint="eastAsia"/>
                <w:kern w:val="0"/>
              </w:rPr>
              <w:t>2019年11月30日</w:t>
            </w:r>
          </w:p>
        </w:tc>
        <w:tc>
          <w:tcPr>
            <w:tcW w:w="1684"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1.011732</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1.011732</w:t>
            </w:r>
          </w:p>
        </w:tc>
        <w:tc>
          <w:tcPr>
            <w:tcW w:w="1701" w:type="dxa"/>
            <w:vAlign w:val="center"/>
          </w:tcPr>
          <w:p w:rsidR="003E34C4" w:rsidRPr="002C72A6" w:rsidRDefault="003E34C4" w:rsidP="000C4729">
            <w:pPr>
              <w:spacing w:line="360" w:lineRule="auto"/>
              <w:jc w:val="center"/>
              <w:rPr>
                <w:rFonts w:ascii="宋体" w:hAnsi="宋体" w:cs="宋体"/>
                <w:kern w:val="0"/>
              </w:rPr>
            </w:pPr>
            <w:r w:rsidRPr="003E34C4">
              <w:rPr>
                <w:rFonts w:ascii="宋体" w:hAnsi="宋体" w:cs="宋体"/>
                <w:kern w:val="0"/>
              </w:rPr>
              <w:t>302912431.20</w:t>
            </w:r>
          </w:p>
        </w:tc>
      </w:tr>
      <w:tr w:rsidR="00DF1029" w:rsidTr="00F361FE">
        <w:trPr>
          <w:trHeight w:val="285"/>
          <w:jc w:val="center"/>
        </w:trPr>
        <w:tc>
          <w:tcPr>
            <w:tcW w:w="3302" w:type="dxa"/>
          </w:tcPr>
          <w:p w:rsidR="00DF1029" w:rsidRPr="00DF1029" w:rsidRDefault="003E34C4" w:rsidP="00DF1029">
            <w:pPr>
              <w:spacing w:line="360" w:lineRule="auto"/>
              <w:jc w:val="center"/>
              <w:rPr>
                <w:rFonts w:ascii="宋体" w:hAnsi="宋体" w:cs="宋体"/>
                <w:kern w:val="0"/>
              </w:rPr>
            </w:pPr>
            <w:r>
              <w:rPr>
                <w:rFonts w:ascii="宋体" w:hAnsi="宋体" w:cs="宋体" w:hint="eastAsia"/>
                <w:kern w:val="0"/>
              </w:rPr>
              <w:t>2019年10月31日</w:t>
            </w:r>
          </w:p>
        </w:tc>
        <w:tc>
          <w:tcPr>
            <w:tcW w:w="1684" w:type="dxa"/>
            <w:vAlign w:val="center"/>
          </w:tcPr>
          <w:p w:rsidR="00DF1029" w:rsidRDefault="003E34C4" w:rsidP="000C4729">
            <w:pPr>
              <w:spacing w:line="360" w:lineRule="auto"/>
              <w:jc w:val="center"/>
              <w:rPr>
                <w:rFonts w:ascii="宋体" w:hAnsi="宋体" w:cs="宋体"/>
                <w:kern w:val="0"/>
              </w:rPr>
            </w:pPr>
            <w:r w:rsidRPr="003E34C4">
              <w:rPr>
                <w:rFonts w:ascii="宋体" w:hAnsi="宋体" w:cs="宋体"/>
                <w:kern w:val="0"/>
              </w:rPr>
              <w:t>1.007947</w:t>
            </w:r>
          </w:p>
        </w:tc>
        <w:tc>
          <w:tcPr>
            <w:tcW w:w="1701" w:type="dxa"/>
            <w:vAlign w:val="center"/>
          </w:tcPr>
          <w:p w:rsidR="00DF1029" w:rsidRDefault="003E34C4" w:rsidP="000C4729">
            <w:pPr>
              <w:spacing w:line="360" w:lineRule="auto"/>
              <w:jc w:val="center"/>
              <w:rPr>
                <w:rFonts w:ascii="宋体" w:hAnsi="宋体" w:cs="宋体"/>
                <w:kern w:val="0"/>
              </w:rPr>
            </w:pPr>
            <w:r w:rsidRPr="003E34C4">
              <w:rPr>
                <w:rFonts w:ascii="宋体" w:hAnsi="宋体" w:cs="宋体"/>
                <w:kern w:val="0"/>
              </w:rPr>
              <w:t>1.007947</w:t>
            </w:r>
          </w:p>
        </w:tc>
        <w:tc>
          <w:tcPr>
            <w:tcW w:w="1701" w:type="dxa"/>
            <w:vAlign w:val="center"/>
          </w:tcPr>
          <w:p w:rsidR="00DF1029" w:rsidRDefault="003E34C4" w:rsidP="000C4729">
            <w:pPr>
              <w:spacing w:line="360" w:lineRule="auto"/>
              <w:jc w:val="center"/>
              <w:rPr>
                <w:rFonts w:ascii="宋体" w:hAnsi="宋体" w:cs="宋体"/>
                <w:kern w:val="0"/>
              </w:rPr>
            </w:pPr>
            <w:r w:rsidRPr="003E34C4">
              <w:rPr>
                <w:rFonts w:ascii="宋体" w:hAnsi="宋体" w:cs="宋体"/>
                <w:kern w:val="0"/>
              </w:rPr>
              <w:t>301779333.82</w:t>
            </w:r>
          </w:p>
        </w:tc>
      </w:tr>
      <w:tr w:rsidR="003E34C4" w:rsidTr="00F361FE">
        <w:trPr>
          <w:trHeight w:val="285"/>
          <w:jc w:val="center"/>
        </w:trPr>
        <w:tc>
          <w:tcPr>
            <w:tcW w:w="3302" w:type="dxa"/>
          </w:tcPr>
          <w:p w:rsidR="003E34C4" w:rsidRPr="00DF1029" w:rsidRDefault="003E34C4" w:rsidP="00204761">
            <w:pPr>
              <w:spacing w:line="360" w:lineRule="auto"/>
              <w:jc w:val="center"/>
              <w:rPr>
                <w:rFonts w:ascii="宋体" w:hAnsi="宋体" w:cs="宋体"/>
                <w:kern w:val="0"/>
              </w:rPr>
            </w:pPr>
            <w:r w:rsidRPr="00DF1029">
              <w:rPr>
                <w:rFonts w:ascii="宋体" w:hAnsi="宋体" w:cs="宋体" w:hint="eastAsia"/>
                <w:kern w:val="0"/>
              </w:rPr>
              <w:t>2019年9月30日</w:t>
            </w:r>
          </w:p>
        </w:tc>
        <w:tc>
          <w:tcPr>
            <w:tcW w:w="1684" w:type="dxa"/>
            <w:vAlign w:val="center"/>
          </w:tcPr>
          <w:p w:rsidR="003E34C4" w:rsidRDefault="003E34C4" w:rsidP="00204761">
            <w:pPr>
              <w:spacing w:line="360" w:lineRule="auto"/>
              <w:jc w:val="center"/>
              <w:rPr>
                <w:rFonts w:ascii="宋体" w:hAnsi="宋体" w:cs="宋体"/>
                <w:kern w:val="0"/>
              </w:rPr>
            </w:pPr>
            <w:r w:rsidRPr="002C72A6">
              <w:rPr>
                <w:rFonts w:ascii="宋体" w:hAnsi="宋体" w:cs="宋体"/>
                <w:kern w:val="0"/>
              </w:rPr>
              <w:t>1.004037</w:t>
            </w:r>
          </w:p>
        </w:tc>
        <w:tc>
          <w:tcPr>
            <w:tcW w:w="1701" w:type="dxa"/>
            <w:vAlign w:val="center"/>
          </w:tcPr>
          <w:p w:rsidR="003E34C4" w:rsidRDefault="003E34C4" w:rsidP="00204761">
            <w:pPr>
              <w:spacing w:line="360" w:lineRule="auto"/>
              <w:jc w:val="center"/>
              <w:rPr>
                <w:rFonts w:ascii="宋体" w:hAnsi="宋体" w:cs="宋体"/>
                <w:kern w:val="0"/>
              </w:rPr>
            </w:pPr>
            <w:r w:rsidRPr="002C72A6">
              <w:rPr>
                <w:rFonts w:ascii="宋体" w:hAnsi="宋体" w:cs="宋体"/>
                <w:kern w:val="0"/>
              </w:rPr>
              <w:t>1.004037</w:t>
            </w:r>
          </w:p>
        </w:tc>
        <w:tc>
          <w:tcPr>
            <w:tcW w:w="1701" w:type="dxa"/>
            <w:vAlign w:val="center"/>
          </w:tcPr>
          <w:p w:rsidR="003E34C4" w:rsidRDefault="003E34C4" w:rsidP="00204761">
            <w:pPr>
              <w:spacing w:line="360" w:lineRule="auto"/>
              <w:jc w:val="center"/>
              <w:rPr>
                <w:rFonts w:ascii="宋体" w:hAnsi="宋体" w:cs="宋体"/>
                <w:kern w:val="0"/>
              </w:rPr>
            </w:pPr>
            <w:r w:rsidRPr="002C72A6">
              <w:rPr>
                <w:rFonts w:ascii="宋体" w:hAnsi="宋体" w:cs="宋体"/>
                <w:kern w:val="0"/>
              </w:rPr>
              <w:t>300608618.28</w:t>
            </w:r>
          </w:p>
        </w:tc>
      </w:tr>
      <w:tr w:rsidR="003E34C4" w:rsidTr="00F361FE">
        <w:trPr>
          <w:trHeight w:val="285"/>
          <w:jc w:val="center"/>
        </w:trPr>
        <w:tc>
          <w:tcPr>
            <w:tcW w:w="3302" w:type="dxa"/>
          </w:tcPr>
          <w:p w:rsidR="003E34C4" w:rsidRPr="00DF1029" w:rsidRDefault="003E34C4" w:rsidP="00DF1029">
            <w:pPr>
              <w:spacing w:line="360" w:lineRule="auto"/>
              <w:jc w:val="center"/>
              <w:rPr>
                <w:rFonts w:ascii="宋体" w:hAnsi="宋体" w:cs="宋体"/>
                <w:kern w:val="0"/>
              </w:rPr>
            </w:pPr>
            <w:r w:rsidRPr="00DF1029">
              <w:rPr>
                <w:rFonts w:ascii="宋体" w:hAnsi="宋体" w:cs="宋体" w:hint="eastAsia"/>
                <w:kern w:val="0"/>
              </w:rPr>
              <w:t>2019年8月31日</w:t>
            </w:r>
          </w:p>
        </w:tc>
        <w:tc>
          <w:tcPr>
            <w:tcW w:w="1684" w:type="dxa"/>
            <w:vAlign w:val="center"/>
          </w:tcPr>
          <w:p w:rsidR="003E34C4" w:rsidRDefault="003E34C4" w:rsidP="005A08AB">
            <w:pPr>
              <w:spacing w:line="360" w:lineRule="auto"/>
              <w:jc w:val="center"/>
              <w:rPr>
                <w:rFonts w:ascii="宋体" w:hAnsi="宋体" w:cs="宋体"/>
                <w:kern w:val="0"/>
              </w:rPr>
            </w:pPr>
            <w:r w:rsidRPr="002C72A6">
              <w:rPr>
                <w:rFonts w:ascii="宋体" w:hAnsi="宋体" w:cs="宋体"/>
                <w:kern w:val="0"/>
              </w:rPr>
              <w:t>1.000252</w:t>
            </w:r>
          </w:p>
        </w:tc>
        <w:tc>
          <w:tcPr>
            <w:tcW w:w="1701" w:type="dxa"/>
            <w:vAlign w:val="center"/>
          </w:tcPr>
          <w:p w:rsidR="003E34C4" w:rsidRDefault="003E34C4" w:rsidP="005A08AB">
            <w:pPr>
              <w:spacing w:line="360" w:lineRule="auto"/>
              <w:jc w:val="center"/>
              <w:rPr>
                <w:rFonts w:ascii="宋体" w:hAnsi="宋体" w:cs="宋体"/>
                <w:kern w:val="0"/>
              </w:rPr>
            </w:pPr>
            <w:r w:rsidRPr="002C72A6">
              <w:rPr>
                <w:rFonts w:ascii="宋体" w:hAnsi="宋体" w:cs="宋体"/>
                <w:kern w:val="0"/>
              </w:rPr>
              <w:t>1.000252</w:t>
            </w:r>
          </w:p>
        </w:tc>
        <w:tc>
          <w:tcPr>
            <w:tcW w:w="1701" w:type="dxa"/>
            <w:vAlign w:val="center"/>
          </w:tcPr>
          <w:p w:rsidR="003E34C4" w:rsidRDefault="003E34C4" w:rsidP="005A08AB">
            <w:pPr>
              <w:spacing w:line="360" w:lineRule="auto"/>
              <w:jc w:val="center"/>
              <w:rPr>
                <w:rFonts w:ascii="宋体" w:hAnsi="宋体" w:cs="宋体"/>
                <w:kern w:val="0"/>
              </w:rPr>
            </w:pPr>
            <w:r w:rsidRPr="002C72A6">
              <w:rPr>
                <w:rFonts w:ascii="宋体" w:hAnsi="宋体" w:cs="宋体"/>
                <w:kern w:val="0"/>
              </w:rPr>
              <w:t>299475520.86</w:t>
            </w:r>
          </w:p>
        </w:tc>
      </w:tr>
    </w:tbl>
    <w:p w:rsidR="00747E15" w:rsidRPr="00E31B0A" w:rsidRDefault="003D3F6C" w:rsidP="003E4D8B">
      <w:pPr>
        <w:ind w:firstLineChars="200" w:firstLine="560"/>
        <w:jc w:val="left"/>
        <w:rPr>
          <w:rFonts w:asciiTheme="minorEastAsia" w:eastAsiaTheme="minorEastAsia" w:hAnsiTheme="minorEastAsia"/>
          <w:color w:val="000000"/>
          <w:sz w:val="28"/>
          <w:szCs w:val="28"/>
        </w:rPr>
      </w:pPr>
      <w:r w:rsidRPr="00E31B0A">
        <w:rPr>
          <w:rFonts w:asciiTheme="minorEastAsia" w:eastAsiaTheme="minorEastAsia" w:hAnsiTheme="minorEastAsia" w:hint="eastAsia"/>
          <w:color w:val="000000"/>
          <w:sz w:val="28"/>
          <w:szCs w:val="28"/>
        </w:rPr>
        <w:t>相关收益及计算方法，请具体查阅对应的收益率调整公告及产品说明书。</w:t>
      </w:r>
    </w:p>
    <w:p w:rsidR="00747E15" w:rsidRPr="00E31B0A" w:rsidRDefault="00747E15"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sidRPr="00E31B0A">
        <w:rPr>
          <w:rFonts w:asciiTheme="minorEastAsia" w:eastAsiaTheme="minorEastAsia" w:hAnsiTheme="minorEastAsia" w:hint="eastAsia"/>
          <w:b/>
          <w:color w:val="000000"/>
          <w:sz w:val="28"/>
          <w:szCs w:val="28"/>
        </w:rPr>
        <w:t>二、产品投资组合详细情况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1417"/>
        <w:gridCol w:w="1418"/>
        <w:gridCol w:w="1326"/>
      </w:tblGrid>
      <w:tr w:rsidR="00F33FC4" w:rsidRPr="00E31B0A" w:rsidTr="00892297">
        <w:trPr>
          <w:trHeight w:val="589"/>
        </w:trPr>
        <w:tc>
          <w:tcPr>
            <w:tcW w:w="2943"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产品名称</w:t>
            </w:r>
          </w:p>
        </w:tc>
        <w:tc>
          <w:tcPr>
            <w:tcW w:w="1418"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募集起始日</w:t>
            </w:r>
          </w:p>
        </w:tc>
        <w:tc>
          <w:tcPr>
            <w:tcW w:w="1417"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募集结束日</w:t>
            </w:r>
          </w:p>
        </w:tc>
        <w:tc>
          <w:tcPr>
            <w:tcW w:w="1418"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产品成立日</w:t>
            </w:r>
          </w:p>
        </w:tc>
        <w:tc>
          <w:tcPr>
            <w:tcW w:w="1326"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产品到期日</w:t>
            </w:r>
          </w:p>
        </w:tc>
      </w:tr>
      <w:tr w:rsidR="00E31B0A" w:rsidRPr="00E31B0A" w:rsidTr="00892297">
        <w:trPr>
          <w:trHeight w:val="519"/>
        </w:trPr>
        <w:tc>
          <w:tcPr>
            <w:tcW w:w="2943" w:type="dxa"/>
            <w:vAlign w:val="center"/>
          </w:tcPr>
          <w:p w:rsidR="00E31B0A" w:rsidRPr="00E31B0A" w:rsidRDefault="002C72A6" w:rsidP="00E31B0A">
            <w:pPr>
              <w:jc w:val="center"/>
              <w:rPr>
                <w:rFonts w:asciiTheme="minorEastAsia" w:eastAsiaTheme="minorEastAsia" w:hAnsiTheme="minorEastAsia"/>
                <w:szCs w:val="21"/>
              </w:rPr>
            </w:pPr>
            <w:r w:rsidRPr="002C72A6">
              <w:rPr>
                <w:rFonts w:asciiTheme="minorEastAsia" w:eastAsiaTheme="minorEastAsia" w:hAnsiTheme="minorEastAsia" w:hint="eastAsia"/>
                <w:szCs w:val="21"/>
              </w:rPr>
              <w:t>中国建设银行云南省分行“乾元-稳赢” (公募) 2019年第1期封闭式固定收益类净值型人民币理财产品</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2019-8-23</w:t>
            </w:r>
          </w:p>
        </w:tc>
        <w:tc>
          <w:tcPr>
            <w:tcW w:w="1417"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2019-8-29</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2019-8-30</w:t>
            </w:r>
          </w:p>
        </w:tc>
        <w:tc>
          <w:tcPr>
            <w:tcW w:w="1326"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2020-12-25</w:t>
            </w:r>
          </w:p>
        </w:tc>
      </w:tr>
    </w:tbl>
    <w:p w:rsidR="00F33FC4" w:rsidRPr="00437C59" w:rsidRDefault="00F33FC4" w:rsidP="003E4D8B">
      <w:pPr>
        <w:widowControl/>
        <w:shd w:val="clear" w:color="auto" w:fill="FFFFFF"/>
        <w:spacing w:before="240"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理财产品管理人：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F33FC4" w:rsidRPr="00437C59" w:rsidRDefault="00F33FC4" w:rsidP="00C61B7B">
      <w:pPr>
        <w:widowControl/>
        <w:shd w:val="clear" w:color="auto" w:fill="FFFFFF"/>
        <w:spacing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理财产品托管人：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892297" w:rsidRDefault="00747E15" w:rsidP="00892297">
      <w:pPr>
        <w:spacing w:afterLines="50" w:after="156" w:line="480" w:lineRule="exact"/>
        <w:ind w:firstLineChars="200" w:firstLine="562"/>
        <w:outlineLvl w:val="0"/>
        <w:rPr>
          <w:rFonts w:asciiTheme="minorEastAsia" w:eastAsiaTheme="minorEastAsia" w:hAnsiTheme="minorEastAsia"/>
          <w:b/>
          <w:color w:val="000000"/>
          <w:sz w:val="28"/>
          <w:szCs w:val="28"/>
        </w:rPr>
      </w:pPr>
      <w:r w:rsidRPr="00437C59">
        <w:rPr>
          <w:rFonts w:asciiTheme="minorEastAsia" w:eastAsiaTheme="minorEastAsia" w:hAnsiTheme="minorEastAsia" w:hint="eastAsia"/>
          <w:b/>
          <w:color w:val="000000"/>
          <w:sz w:val="28"/>
          <w:szCs w:val="28"/>
        </w:rPr>
        <w:lastRenderedPageBreak/>
        <w:t>三、</w:t>
      </w:r>
      <w:r w:rsidR="00892297">
        <w:rPr>
          <w:rFonts w:asciiTheme="minorEastAsia" w:eastAsiaTheme="minorEastAsia" w:hAnsiTheme="minorEastAsia" w:hint="eastAsia"/>
          <w:b/>
          <w:color w:val="000000"/>
          <w:sz w:val="28"/>
          <w:szCs w:val="28"/>
        </w:rPr>
        <w:t>期末资产持仓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843"/>
        <w:gridCol w:w="1418"/>
        <w:gridCol w:w="1842"/>
      </w:tblGrid>
      <w:tr w:rsidR="00892297" w:rsidTr="00CF3B2C">
        <w:trPr>
          <w:trHeight w:val="285"/>
          <w:jc w:val="center"/>
        </w:trPr>
        <w:tc>
          <w:tcPr>
            <w:tcW w:w="254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资产类别</w:t>
            </w:r>
          </w:p>
        </w:tc>
        <w:tc>
          <w:tcPr>
            <w:tcW w:w="141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穿透前金额</w:t>
            </w:r>
          </w:p>
          <w:p w:rsidR="00892297" w:rsidRDefault="00892297" w:rsidP="005A08AB">
            <w:pPr>
              <w:spacing w:line="360" w:lineRule="auto"/>
              <w:jc w:val="center"/>
              <w:rPr>
                <w:rFonts w:ascii="宋体" w:hAnsi="宋体" w:cs="宋体"/>
                <w:kern w:val="0"/>
              </w:rPr>
            </w:pPr>
            <w:r>
              <w:rPr>
                <w:rFonts w:ascii="宋体" w:hAnsi="宋体" w:cs="宋体" w:hint="eastAsia"/>
                <w:kern w:val="0"/>
              </w:rPr>
              <w:t>（万元）</w:t>
            </w:r>
          </w:p>
        </w:tc>
        <w:tc>
          <w:tcPr>
            <w:tcW w:w="1843"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占全部产品总资产的比例（%）</w:t>
            </w:r>
          </w:p>
        </w:tc>
        <w:tc>
          <w:tcPr>
            <w:tcW w:w="1418"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穿透后金额</w:t>
            </w:r>
          </w:p>
          <w:p w:rsidR="00892297" w:rsidRDefault="00892297" w:rsidP="005A08AB">
            <w:pPr>
              <w:spacing w:line="360" w:lineRule="auto"/>
              <w:jc w:val="center"/>
              <w:rPr>
                <w:rFonts w:ascii="宋体" w:hAnsi="宋体" w:cs="宋体"/>
                <w:kern w:val="0"/>
              </w:rPr>
            </w:pPr>
            <w:r>
              <w:rPr>
                <w:rFonts w:ascii="宋体" w:hAnsi="宋体" w:cs="宋体" w:hint="eastAsia"/>
                <w:kern w:val="0"/>
              </w:rPr>
              <w:t>（万元）</w:t>
            </w:r>
          </w:p>
        </w:tc>
        <w:tc>
          <w:tcPr>
            <w:tcW w:w="1842" w:type="dxa"/>
          </w:tcPr>
          <w:p w:rsidR="00892297" w:rsidRDefault="00892297" w:rsidP="005A08AB">
            <w:pPr>
              <w:spacing w:line="360" w:lineRule="auto"/>
              <w:jc w:val="center"/>
              <w:rPr>
                <w:rFonts w:ascii="宋体" w:hAnsi="宋体" w:cs="宋体"/>
                <w:kern w:val="0"/>
              </w:rPr>
            </w:pPr>
            <w:r>
              <w:rPr>
                <w:rFonts w:ascii="宋体" w:hAnsi="宋体" w:cs="宋体" w:hint="eastAsia"/>
                <w:kern w:val="0"/>
              </w:rPr>
              <w:t>占全部产品总资产的比例（%）</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非标准化债权类资产</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合计</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bl>
    <w:p w:rsidR="00C85517" w:rsidRDefault="00892297" w:rsidP="00735338">
      <w:pPr>
        <w:spacing w:beforeLines="50" w:before="156" w:afterLines="50" w:after="156" w:line="480" w:lineRule="exact"/>
        <w:ind w:firstLineChars="200" w:firstLine="562"/>
        <w:outlineLvl w:val="0"/>
        <w:rPr>
          <w:rFonts w:asciiTheme="minorEastAsia" w:eastAsiaTheme="minorEastAsia" w:hAnsiTheme="minorEastAsia" w:cs="宋体"/>
          <w:b/>
          <w:color w:val="0D0D0D" w:themeColor="text1" w:themeTint="F2"/>
          <w:kern w:val="0"/>
          <w:sz w:val="28"/>
          <w:szCs w:val="28"/>
        </w:rPr>
      </w:pPr>
      <w:r>
        <w:rPr>
          <w:rFonts w:asciiTheme="minorEastAsia" w:eastAsiaTheme="minorEastAsia" w:hAnsiTheme="minorEastAsia" w:hint="eastAsia"/>
          <w:b/>
          <w:color w:val="000000"/>
          <w:sz w:val="28"/>
          <w:szCs w:val="28"/>
        </w:rPr>
        <w:t>四、</w:t>
      </w:r>
      <w:r w:rsidR="005E1AF9">
        <w:rPr>
          <w:rFonts w:asciiTheme="minorEastAsia" w:eastAsiaTheme="minorEastAsia" w:hAnsiTheme="minorEastAsia" w:hint="eastAsia"/>
          <w:b/>
          <w:color w:val="000000"/>
          <w:sz w:val="28"/>
          <w:szCs w:val="28"/>
        </w:rPr>
        <w:t>前十大</w:t>
      </w:r>
      <w:r w:rsidR="00C85517">
        <w:rPr>
          <w:rFonts w:asciiTheme="minorEastAsia" w:eastAsiaTheme="minorEastAsia" w:hAnsiTheme="minorEastAsia" w:cs="宋体" w:hint="eastAsia"/>
          <w:b/>
          <w:color w:val="0D0D0D" w:themeColor="text1" w:themeTint="F2"/>
          <w:kern w:val="0"/>
          <w:sz w:val="28"/>
          <w:szCs w:val="28"/>
        </w:rPr>
        <w:t>投资资产明细</w:t>
      </w:r>
    </w:p>
    <w:tbl>
      <w:tblPr>
        <w:tblW w:w="0" w:type="auto"/>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969"/>
        <w:gridCol w:w="1841"/>
        <w:gridCol w:w="1859"/>
      </w:tblGrid>
      <w:tr w:rsidR="00CF3B2C" w:rsidRPr="00437C59" w:rsidTr="00CF3B2C">
        <w:trPr>
          <w:trHeight w:val="589"/>
          <w:jc w:val="center"/>
        </w:trPr>
        <w:tc>
          <w:tcPr>
            <w:tcW w:w="1349" w:type="dxa"/>
            <w:vAlign w:val="center"/>
          </w:tcPr>
          <w:p w:rsidR="00CF3B2C" w:rsidRPr="00C85517" w:rsidRDefault="00CF3B2C" w:rsidP="00CF3B2C">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3969"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资产名称</w:t>
            </w:r>
          </w:p>
        </w:tc>
        <w:tc>
          <w:tcPr>
            <w:tcW w:w="1841"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资产规模</w:t>
            </w:r>
            <w:r>
              <w:rPr>
                <w:rFonts w:asciiTheme="minorEastAsia" w:eastAsiaTheme="minorEastAsia" w:hAnsiTheme="minorEastAsia" w:hint="eastAsia"/>
                <w:szCs w:val="21"/>
              </w:rPr>
              <w:t>（元）</w:t>
            </w:r>
          </w:p>
        </w:tc>
        <w:tc>
          <w:tcPr>
            <w:tcW w:w="1859" w:type="dxa"/>
            <w:vAlign w:val="center"/>
          </w:tcPr>
          <w:p w:rsidR="00CF3B2C" w:rsidRPr="00C85517" w:rsidRDefault="00CF3B2C" w:rsidP="00977AA9">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w:t>
            </w:r>
            <w:r>
              <w:rPr>
                <w:rFonts w:asciiTheme="minorEastAsia" w:eastAsiaTheme="minorEastAsia" w:hAnsiTheme="minorEastAsia" w:hint="eastAsia"/>
                <w:szCs w:val="21"/>
              </w:rPr>
              <w:t>占比（%）</w:t>
            </w:r>
          </w:p>
        </w:tc>
      </w:tr>
      <w:tr w:rsidR="00CF3B2C" w:rsidRPr="00437C59" w:rsidTr="00CF3B2C">
        <w:trPr>
          <w:trHeight w:val="496"/>
          <w:jc w:val="center"/>
        </w:trPr>
        <w:tc>
          <w:tcPr>
            <w:tcW w:w="1349" w:type="dxa"/>
            <w:vAlign w:val="center"/>
          </w:tcPr>
          <w:p w:rsidR="00CF3B2C" w:rsidRPr="00C720CE" w:rsidRDefault="00CF3B2C" w:rsidP="00CF3B2C">
            <w:pPr>
              <w:jc w:val="center"/>
              <w:rPr>
                <w:rFonts w:asciiTheme="minorEastAsia" w:eastAsiaTheme="minorEastAsia" w:hAnsiTheme="minorEastAsia"/>
              </w:rPr>
            </w:pPr>
            <w:r>
              <w:rPr>
                <w:rFonts w:asciiTheme="minorEastAsia" w:eastAsiaTheme="minorEastAsia" w:hAnsiTheme="minorEastAsia" w:hint="eastAsia"/>
              </w:rPr>
              <w:t>1</w:t>
            </w:r>
          </w:p>
        </w:tc>
        <w:tc>
          <w:tcPr>
            <w:tcW w:w="3969" w:type="dxa"/>
          </w:tcPr>
          <w:p w:rsidR="00CF3B2C" w:rsidRPr="00C720CE" w:rsidRDefault="00781DB6" w:rsidP="007D356E">
            <w:pPr>
              <w:jc w:val="center"/>
              <w:rPr>
                <w:rFonts w:asciiTheme="minorEastAsia" w:eastAsiaTheme="minorEastAsia" w:hAnsiTheme="minorEastAsia"/>
              </w:rPr>
            </w:pPr>
            <w:r w:rsidRPr="00781DB6">
              <w:rPr>
                <w:rFonts w:asciiTheme="minorEastAsia" w:eastAsiaTheme="minorEastAsia" w:hAnsiTheme="minorEastAsia" w:hint="eastAsia"/>
              </w:rPr>
              <w:t>19</w:t>
            </w:r>
            <w:proofErr w:type="gramStart"/>
            <w:r w:rsidRPr="00781DB6">
              <w:rPr>
                <w:rFonts w:asciiTheme="minorEastAsia" w:eastAsiaTheme="minorEastAsia" w:hAnsiTheme="minorEastAsia" w:hint="eastAsia"/>
              </w:rPr>
              <w:t>云滇城</w:t>
            </w:r>
            <w:proofErr w:type="gramEnd"/>
            <w:r w:rsidRPr="00781DB6">
              <w:rPr>
                <w:rFonts w:asciiTheme="minorEastAsia" w:eastAsiaTheme="minorEastAsia" w:hAnsiTheme="minorEastAsia" w:hint="eastAsia"/>
              </w:rPr>
              <w:t>投AB001</w:t>
            </w:r>
          </w:p>
        </w:tc>
        <w:tc>
          <w:tcPr>
            <w:tcW w:w="1841" w:type="dxa"/>
          </w:tcPr>
          <w:p w:rsidR="00CF3B2C" w:rsidRPr="00C720CE" w:rsidRDefault="00781DB6" w:rsidP="007D356E">
            <w:pPr>
              <w:jc w:val="center"/>
              <w:rPr>
                <w:rFonts w:asciiTheme="minorEastAsia" w:eastAsiaTheme="minorEastAsia" w:hAnsiTheme="minorEastAsia"/>
              </w:rPr>
            </w:pPr>
            <w:r>
              <w:rPr>
                <w:rFonts w:asciiTheme="minorEastAsia" w:eastAsiaTheme="minorEastAsia" w:hAnsiTheme="minorEastAsia" w:hint="eastAsia"/>
              </w:rPr>
              <w:t>299400000.00</w:t>
            </w:r>
          </w:p>
        </w:tc>
        <w:tc>
          <w:tcPr>
            <w:tcW w:w="1859" w:type="dxa"/>
          </w:tcPr>
          <w:p w:rsidR="00CF3B2C" w:rsidRPr="00C720CE" w:rsidRDefault="002C72A6" w:rsidP="007D356E">
            <w:pPr>
              <w:jc w:val="center"/>
              <w:rPr>
                <w:rFonts w:asciiTheme="minorEastAsia" w:eastAsiaTheme="minorEastAsia" w:hAnsiTheme="minorEastAsia"/>
              </w:rPr>
            </w:pPr>
            <w:r>
              <w:rPr>
                <w:rFonts w:asciiTheme="minorEastAsia" w:eastAsiaTheme="minorEastAsia" w:hAnsiTheme="minorEastAsia" w:hint="eastAsia"/>
              </w:rPr>
              <w:t>100</w:t>
            </w:r>
          </w:p>
        </w:tc>
      </w:tr>
    </w:tbl>
    <w:p w:rsidR="00C85517" w:rsidRDefault="00C85517" w:rsidP="00C85517">
      <w:pPr>
        <w:spacing w:line="480" w:lineRule="exact"/>
        <w:ind w:firstLineChars="200" w:firstLine="420"/>
        <w:outlineLvl w:val="0"/>
        <w:rPr>
          <w:rFonts w:asciiTheme="minorEastAsia" w:eastAsiaTheme="minorEastAsia" w:hAnsiTheme="minorEastAsia"/>
          <w:color w:val="000000"/>
          <w:szCs w:val="21"/>
        </w:rPr>
      </w:pPr>
      <w:r w:rsidRPr="00C85517">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本表列</w:t>
      </w:r>
      <w:r w:rsidRPr="00222168">
        <w:rPr>
          <w:rFonts w:asciiTheme="minorEastAsia" w:eastAsiaTheme="minorEastAsia" w:hAnsiTheme="minorEastAsia" w:hint="eastAsia"/>
          <w:color w:val="000000"/>
          <w:szCs w:val="21"/>
        </w:rPr>
        <w:t>示</w:t>
      </w:r>
      <w:r w:rsidR="009A1651" w:rsidRPr="00222168">
        <w:rPr>
          <w:rFonts w:asciiTheme="minorEastAsia" w:eastAsiaTheme="minorEastAsia" w:hAnsiTheme="minorEastAsia" w:hint="eastAsia"/>
          <w:color w:val="000000"/>
          <w:szCs w:val="21"/>
        </w:rPr>
        <w:t>穿透后</w:t>
      </w:r>
      <w:r w:rsidRPr="00222168">
        <w:rPr>
          <w:rFonts w:asciiTheme="minorEastAsia" w:eastAsiaTheme="minorEastAsia" w:hAnsiTheme="minorEastAsia" w:hint="eastAsia"/>
          <w:color w:val="000000"/>
          <w:szCs w:val="21"/>
        </w:rPr>
        <w:t>投</w:t>
      </w:r>
      <w:r>
        <w:rPr>
          <w:rFonts w:asciiTheme="minorEastAsia" w:eastAsiaTheme="minorEastAsia" w:hAnsiTheme="minorEastAsia" w:hint="eastAsia"/>
          <w:color w:val="000000"/>
          <w:szCs w:val="21"/>
        </w:rPr>
        <w:t>资规模</w:t>
      </w:r>
      <w:proofErr w:type="gramStart"/>
      <w:r>
        <w:rPr>
          <w:rFonts w:asciiTheme="minorEastAsia" w:eastAsiaTheme="minorEastAsia" w:hAnsiTheme="minorEastAsia" w:hint="eastAsia"/>
          <w:color w:val="000000"/>
          <w:szCs w:val="21"/>
        </w:rPr>
        <w:t>占比较</w:t>
      </w:r>
      <w:proofErr w:type="gramEnd"/>
      <w:r>
        <w:rPr>
          <w:rFonts w:asciiTheme="minorEastAsia" w:eastAsiaTheme="minorEastAsia" w:hAnsiTheme="minorEastAsia" w:hint="eastAsia"/>
          <w:color w:val="000000"/>
          <w:szCs w:val="21"/>
        </w:rPr>
        <w:t>高的前十项资产</w:t>
      </w:r>
    </w:p>
    <w:p w:rsidR="00C715DB" w:rsidRDefault="00735338" w:rsidP="009E48D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w:t>
      </w:r>
      <w:r w:rsidR="009E48DB">
        <w:rPr>
          <w:rFonts w:asciiTheme="minorEastAsia" w:eastAsiaTheme="minorEastAsia" w:hAnsiTheme="minorEastAsia" w:hint="eastAsia"/>
          <w:b/>
          <w:color w:val="000000"/>
          <w:sz w:val="28"/>
          <w:szCs w:val="28"/>
        </w:rPr>
        <w:t>、</w:t>
      </w:r>
      <w:r w:rsidR="00C715DB">
        <w:rPr>
          <w:rFonts w:asciiTheme="minorEastAsia" w:eastAsiaTheme="minorEastAsia" w:hAnsiTheme="minorEastAsia" w:hint="eastAsia"/>
          <w:b/>
          <w:color w:val="000000"/>
          <w:sz w:val="28"/>
          <w:szCs w:val="28"/>
        </w:rPr>
        <w:t>风险分析</w:t>
      </w:r>
    </w:p>
    <w:p w:rsidR="009E48DB" w:rsidRDefault="00C715DB" w:rsidP="00C715DB">
      <w:pPr>
        <w:spacing w:line="480" w:lineRule="exact"/>
        <w:ind w:firstLineChars="200" w:firstLine="560"/>
        <w:outlineLvl w:val="0"/>
        <w:rPr>
          <w:rFonts w:asciiTheme="minorEastAsia" w:eastAsiaTheme="minorEastAsia" w:hAnsiTheme="minorEastAsia"/>
          <w:b/>
          <w:color w:val="000000"/>
          <w:sz w:val="28"/>
          <w:szCs w:val="28"/>
        </w:rPr>
      </w:pPr>
      <w:r w:rsidRPr="00C715DB">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产品</w:t>
      </w:r>
      <w:r w:rsidR="009E48DB" w:rsidRPr="00C715DB">
        <w:rPr>
          <w:rFonts w:asciiTheme="minorEastAsia" w:eastAsiaTheme="minorEastAsia" w:hAnsiTheme="minorEastAsia" w:hint="eastAsia"/>
          <w:color w:val="000000"/>
          <w:sz w:val="28"/>
          <w:szCs w:val="28"/>
        </w:rPr>
        <w:t>的流动性风险</w:t>
      </w:r>
      <w:r>
        <w:rPr>
          <w:rFonts w:asciiTheme="minorEastAsia" w:eastAsiaTheme="minorEastAsia" w:hAnsiTheme="minorEastAsia" w:hint="eastAsia"/>
          <w:color w:val="000000"/>
          <w:sz w:val="28"/>
          <w:szCs w:val="28"/>
        </w:rPr>
        <w:t>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C715DB" w:rsidP="00781DB6">
            <w:pPr>
              <w:spacing w:line="360" w:lineRule="auto"/>
              <w:rPr>
                <w:rFonts w:ascii="宋体" w:hAnsi="宋体"/>
                <w:sz w:val="24"/>
              </w:rPr>
            </w:pPr>
            <w:r w:rsidRPr="00C715DB">
              <w:rPr>
                <w:rFonts w:ascii="宋体" w:hAnsi="宋体" w:hint="eastAsia"/>
                <w:sz w:val="28"/>
                <w:szCs w:val="28"/>
              </w:rPr>
              <w:t>如：</w:t>
            </w:r>
            <w:r w:rsidRPr="00266DC8">
              <w:rPr>
                <w:rFonts w:asciiTheme="minorEastAsia" w:eastAsiaTheme="minorEastAsia" w:hAnsiTheme="minorEastAsia" w:hint="eastAsia"/>
                <w:color w:val="000000"/>
                <w:sz w:val="28"/>
                <w:szCs w:val="28"/>
              </w:rPr>
              <w:t>由于</w:t>
            </w:r>
            <w:r w:rsidRPr="00266DC8">
              <w:rPr>
                <w:rFonts w:asciiTheme="minorEastAsia" w:eastAsiaTheme="minorEastAsia" w:hAnsiTheme="minorEastAsia" w:cs="黑体" w:hint="eastAsia"/>
                <w:kern w:val="0"/>
                <w:sz w:val="28"/>
                <w:szCs w:val="28"/>
              </w:rPr>
              <w:t>产品存续期内，客户</w:t>
            </w:r>
            <w:r w:rsidRPr="00266DC8">
              <w:rPr>
                <w:rFonts w:asciiTheme="minorEastAsia" w:eastAsiaTheme="minorEastAsia" w:hAnsiTheme="minorEastAsia" w:hint="eastAsia"/>
                <w:sz w:val="28"/>
                <w:szCs w:val="28"/>
              </w:rPr>
              <w:t>无提前终止权，</w:t>
            </w:r>
            <w:r w:rsidRPr="00266DC8">
              <w:rPr>
                <w:rFonts w:asciiTheme="minorEastAsia" w:eastAsiaTheme="minorEastAsia" w:hAnsiTheme="minorEastAsia" w:cs="黑体" w:hint="eastAsia"/>
                <w:kern w:val="0"/>
                <w:sz w:val="28"/>
                <w:szCs w:val="28"/>
              </w:rPr>
              <w:t>不可赎回本期产品，且所投组合内所有</w:t>
            </w:r>
            <w:r>
              <w:rPr>
                <w:rFonts w:asciiTheme="minorEastAsia" w:eastAsiaTheme="minorEastAsia" w:hAnsiTheme="minorEastAsia" w:cs="黑体" w:hint="eastAsia"/>
                <w:kern w:val="0"/>
                <w:sz w:val="28"/>
                <w:szCs w:val="28"/>
              </w:rPr>
              <w:t>非标</w:t>
            </w:r>
            <w:r w:rsidRPr="00266DC8">
              <w:rPr>
                <w:rFonts w:asciiTheme="minorEastAsia" w:eastAsiaTheme="minorEastAsia" w:hAnsiTheme="minorEastAsia" w:cs="黑体" w:hint="eastAsia"/>
                <w:kern w:val="0"/>
                <w:sz w:val="28"/>
                <w:szCs w:val="28"/>
              </w:rPr>
              <w:t>资产到期日均</w:t>
            </w:r>
            <w:r w:rsidR="00781DB6">
              <w:rPr>
                <w:rFonts w:asciiTheme="minorEastAsia" w:eastAsiaTheme="minorEastAsia" w:hAnsiTheme="minorEastAsia" w:cs="黑体" w:hint="eastAsia"/>
                <w:kern w:val="0"/>
                <w:sz w:val="28"/>
                <w:szCs w:val="28"/>
              </w:rPr>
              <w:t>不晚</w:t>
            </w:r>
            <w:r w:rsidRPr="00266DC8">
              <w:rPr>
                <w:rFonts w:asciiTheme="minorEastAsia" w:eastAsiaTheme="minorEastAsia" w:hAnsiTheme="minorEastAsia" w:cs="黑体" w:hint="eastAsia"/>
                <w:kern w:val="0"/>
                <w:sz w:val="28"/>
                <w:szCs w:val="28"/>
              </w:rPr>
              <w:t>于产品到期日，故投资组合流动性风险较低</w:t>
            </w:r>
            <w:r w:rsidRPr="00266DC8">
              <w:rPr>
                <w:rFonts w:asciiTheme="minorEastAsia" w:eastAsiaTheme="minorEastAsia" w:hAnsiTheme="minorEastAsia" w:hint="eastAsia"/>
                <w:sz w:val="28"/>
                <w:szCs w:val="28"/>
              </w:rPr>
              <w:t>。</w:t>
            </w:r>
          </w:p>
        </w:tc>
      </w:tr>
    </w:tbl>
    <w:p w:rsidR="00C715DB" w:rsidRDefault="00C715DB" w:rsidP="009E48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（二）产品的投资风险情况</w:t>
      </w:r>
    </w:p>
    <w:p w:rsidR="00C715DB" w:rsidRDefault="00743C62" w:rsidP="00C715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715DB" w:rsidRPr="00C715DB">
        <w:rPr>
          <w:rFonts w:asciiTheme="minorEastAsia" w:eastAsiaTheme="minorEastAsia" w:hAnsiTheme="minorEastAsia" w:hint="eastAsia"/>
          <w:sz w:val="28"/>
          <w:szCs w:val="28"/>
        </w:rPr>
        <w:t>产品债券持仓风险及价格波动情况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930CB4">
              <w:rPr>
                <w:rFonts w:ascii="宋体" w:hAnsi="宋体" w:hint="eastAsia"/>
                <w:sz w:val="24"/>
              </w:rPr>
              <w:t>本产品未投资于债券资产。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715DB" w:rsidRPr="00C715DB">
        <w:rPr>
          <w:rFonts w:asciiTheme="minorEastAsia" w:eastAsiaTheme="minorEastAsia" w:hAnsiTheme="minorEastAsia" w:hint="eastAsia"/>
          <w:sz w:val="28"/>
          <w:szCs w:val="28"/>
        </w:rPr>
        <w:t>产品股票持仓风险及价格波动情况</w:t>
      </w:r>
      <w:r w:rsidR="002A2DCC">
        <w:rPr>
          <w:rFonts w:asciiTheme="minorEastAsia" w:eastAsiaTheme="minorEastAsia" w:hAnsiTheme="minorEastAsia" w:hint="eastAsia"/>
          <w:sz w:val="28"/>
          <w:szCs w:val="28"/>
        </w:rPr>
        <w:t>（针对权益类及混合类产品）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C715D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t>本产品未投资于股票资产。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C715DB" w:rsidRPr="00C715DB">
        <w:rPr>
          <w:rFonts w:asciiTheme="minorEastAsia" w:eastAsiaTheme="minorEastAsia" w:hAnsiTheme="minorEastAsia" w:hint="eastAsia"/>
          <w:sz w:val="28"/>
          <w:szCs w:val="28"/>
        </w:rPr>
        <w:t>产品衍生品持仓风险及公允价值变动情况</w:t>
      </w:r>
      <w:r w:rsidR="002A2DCC">
        <w:rPr>
          <w:rFonts w:asciiTheme="minorEastAsia" w:eastAsiaTheme="minorEastAsia" w:hAnsiTheme="minorEastAsia" w:hint="eastAsia"/>
          <w:sz w:val="28"/>
          <w:szCs w:val="28"/>
        </w:rPr>
        <w:t>（针对</w:t>
      </w:r>
      <w:r w:rsidR="002A2DCC" w:rsidRPr="002A2DCC">
        <w:rPr>
          <w:rFonts w:asciiTheme="minorEastAsia" w:eastAsiaTheme="minorEastAsia" w:hAnsiTheme="minorEastAsia" w:hint="eastAsia"/>
          <w:sz w:val="28"/>
          <w:szCs w:val="28"/>
        </w:rPr>
        <w:t>商品及金融衍生品类</w:t>
      </w:r>
      <w:r w:rsidR="00466029">
        <w:rPr>
          <w:rFonts w:asciiTheme="minorEastAsia" w:eastAsiaTheme="minorEastAsia" w:hAnsiTheme="minorEastAsia" w:hint="eastAsia"/>
          <w:sz w:val="28"/>
          <w:szCs w:val="28"/>
        </w:rPr>
        <w:t>与</w:t>
      </w:r>
      <w:r w:rsidR="002A2DCC">
        <w:rPr>
          <w:rFonts w:asciiTheme="minorEastAsia" w:eastAsiaTheme="minorEastAsia" w:hAnsiTheme="minorEastAsia" w:hint="eastAsia"/>
          <w:sz w:val="28"/>
          <w:szCs w:val="28"/>
        </w:rPr>
        <w:t>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RPr="00743C62"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t>本产品未投资于衍生品。</w:t>
            </w:r>
          </w:p>
        </w:tc>
      </w:tr>
    </w:tbl>
    <w:p w:rsidR="008B49F2" w:rsidRDefault="00735338"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六</w:t>
      </w:r>
      <w:r w:rsidR="008B49F2" w:rsidRPr="008B49F2">
        <w:rPr>
          <w:rFonts w:asciiTheme="minorEastAsia" w:eastAsiaTheme="minorEastAsia" w:hAnsiTheme="minorEastAsia" w:hint="eastAsia"/>
          <w:b/>
          <w:color w:val="000000"/>
          <w:sz w:val="28"/>
          <w:szCs w:val="28"/>
        </w:rPr>
        <w:t>、托管人报告</w:t>
      </w:r>
    </w:p>
    <w:tbl>
      <w:tblPr>
        <w:tblStyle w:val="a9"/>
        <w:tblW w:w="8613" w:type="dxa"/>
        <w:tblLook w:val="04A0" w:firstRow="1" w:lastRow="0" w:firstColumn="1" w:lastColumn="0" w:noHBand="0" w:noVBand="1"/>
      </w:tblPr>
      <w:tblGrid>
        <w:gridCol w:w="8613"/>
      </w:tblGrid>
      <w:tr w:rsidR="009E48DB" w:rsidTr="00C715DB">
        <w:tc>
          <w:tcPr>
            <w:tcW w:w="8613" w:type="dxa"/>
          </w:tcPr>
          <w:p w:rsidR="00781DB6" w:rsidRPr="00781DB6" w:rsidRDefault="00781DB6" w:rsidP="00781DB6">
            <w:pPr>
              <w:spacing w:line="360" w:lineRule="auto"/>
              <w:jc w:val="center"/>
              <w:rPr>
                <w:rFonts w:ascii="宋体" w:hAnsi="宋体"/>
                <w:sz w:val="24"/>
              </w:rPr>
            </w:pPr>
            <w:r w:rsidRPr="00781DB6">
              <w:rPr>
                <w:rFonts w:ascii="宋体" w:hAnsi="宋体" w:hint="eastAsia"/>
                <w:sz w:val="24"/>
              </w:rPr>
              <w:t>2019年托管人报告</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lastRenderedPageBreak/>
              <w:t>中国建设银行股份有限公司</w:t>
            </w:r>
            <w:r>
              <w:rPr>
                <w:rFonts w:ascii="宋体" w:hAnsi="宋体" w:hint="eastAsia"/>
                <w:sz w:val="24"/>
              </w:rPr>
              <w:t>云南省</w:t>
            </w:r>
            <w:r w:rsidRPr="00781DB6">
              <w:rPr>
                <w:rFonts w:ascii="宋体" w:hAnsi="宋体" w:hint="eastAsia"/>
                <w:sz w:val="24"/>
              </w:rPr>
              <w:t>分行（以下简称管理人）于2019年</w:t>
            </w:r>
            <w:r>
              <w:rPr>
                <w:rFonts w:ascii="宋体" w:hAnsi="宋体" w:hint="eastAsia"/>
                <w:sz w:val="24"/>
              </w:rPr>
              <w:t>8</w:t>
            </w:r>
            <w:r w:rsidRPr="00781DB6">
              <w:rPr>
                <w:rFonts w:ascii="宋体" w:hAnsi="宋体" w:hint="eastAsia"/>
                <w:sz w:val="24"/>
              </w:rPr>
              <w:t>月成立云南省分行“乾元-稳赢” (公募) 2019年第1</w:t>
            </w:r>
            <w:r>
              <w:rPr>
                <w:rFonts w:ascii="宋体" w:hAnsi="宋体" w:hint="eastAsia"/>
                <w:sz w:val="24"/>
              </w:rPr>
              <w:t>期封闭式净值型人民币</w:t>
            </w:r>
            <w:r w:rsidRPr="00781DB6">
              <w:rPr>
                <w:rFonts w:ascii="宋体" w:hAnsi="宋体" w:hint="eastAsia"/>
                <w:sz w:val="24"/>
              </w:rPr>
              <w:t>理财产品，托管人为中国建设银行股份有限公司</w:t>
            </w:r>
            <w:r>
              <w:rPr>
                <w:rFonts w:ascii="宋体" w:hAnsi="宋体" w:hint="eastAsia"/>
                <w:sz w:val="24"/>
              </w:rPr>
              <w:t>云南省</w:t>
            </w:r>
            <w:r w:rsidRPr="00781DB6">
              <w:rPr>
                <w:rFonts w:ascii="宋体" w:hAnsi="宋体" w:hint="eastAsia"/>
                <w:sz w:val="24"/>
              </w:rPr>
              <w:t>分行（以下简称托管人）。托管人于2019年</w:t>
            </w:r>
            <w:r>
              <w:rPr>
                <w:rFonts w:ascii="宋体" w:hAnsi="宋体" w:hint="eastAsia"/>
                <w:sz w:val="24"/>
              </w:rPr>
              <w:t>8</w:t>
            </w:r>
            <w:r w:rsidRPr="00781DB6">
              <w:rPr>
                <w:rFonts w:ascii="宋体" w:hAnsi="宋体" w:hint="eastAsia"/>
                <w:sz w:val="24"/>
              </w:rPr>
              <w:t>月</w:t>
            </w:r>
            <w:r>
              <w:rPr>
                <w:rFonts w:ascii="宋体" w:hAnsi="宋体" w:hint="eastAsia"/>
                <w:sz w:val="24"/>
              </w:rPr>
              <w:t>30</w:t>
            </w:r>
            <w:r w:rsidRPr="00781DB6">
              <w:rPr>
                <w:rFonts w:ascii="宋体" w:hAnsi="宋体" w:hint="eastAsia"/>
                <w:sz w:val="24"/>
              </w:rPr>
              <w:t>日开始履行托管职责。</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2019年，托管人在执行本理财产品的托管过程中，根据银监会的要求，严格遵守有关法律和保管合同的约定，尽职尽责地履行了托管人应尽的义务，不存在任何违背保管合同的行为。</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2019年，托管人未发现管理人有违背理财产品说明书约定的行为。</w:t>
            </w:r>
          </w:p>
          <w:p w:rsidR="00781DB6" w:rsidRPr="00781DB6" w:rsidRDefault="00781DB6" w:rsidP="00781DB6">
            <w:pPr>
              <w:spacing w:line="360" w:lineRule="auto"/>
              <w:jc w:val="right"/>
              <w:rPr>
                <w:rFonts w:ascii="宋体" w:hAnsi="宋体"/>
                <w:sz w:val="24"/>
              </w:rPr>
            </w:pPr>
            <w:r w:rsidRPr="00781DB6">
              <w:rPr>
                <w:rFonts w:ascii="宋体" w:hAnsi="宋体" w:hint="eastAsia"/>
                <w:sz w:val="24"/>
              </w:rPr>
              <w:t>中国建设银行股份有限公司</w:t>
            </w:r>
            <w:r>
              <w:rPr>
                <w:rFonts w:ascii="宋体" w:hAnsi="宋体" w:hint="eastAsia"/>
                <w:sz w:val="24"/>
              </w:rPr>
              <w:t>云南省分行托管分中心</w:t>
            </w:r>
          </w:p>
          <w:p w:rsidR="009E48DB" w:rsidRDefault="00781DB6" w:rsidP="00781DB6">
            <w:pPr>
              <w:spacing w:line="360" w:lineRule="auto"/>
              <w:rPr>
                <w:rFonts w:ascii="宋体" w:hAnsi="宋体"/>
                <w:sz w:val="24"/>
              </w:rPr>
            </w:pPr>
            <w:r w:rsidRPr="00781DB6">
              <w:rPr>
                <w:rFonts w:ascii="宋体" w:hAnsi="宋体" w:hint="eastAsia"/>
                <w:sz w:val="24"/>
              </w:rPr>
              <w:t xml:space="preserve">      </w:t>
            </w:r>
            <w:r w:rsidR="003E34C4">
              <w:rPr>
                <w:rFonts w:ascii="宋体" w:hAnsi="宋体" w:hint="eastAsia"/>
                <w:sz w:val="24"/>
              </w:rPr>
              <w:t xml:space="preserve">                            2020</w:t>
            </w:r>
            <w:r w:rsidRPr="00781DB6">
              <w:rPr>
                <w:rFonts w:ascii="宋体" w:hAnsi="宋体" w:hint="eastAsia"/>
                <w:sz w:val="24"/>
              </w:rPr>
              <w:t>年</w:t>
            </w:r>
            <w:r w:rsidR="003E34C4">
              <w:rPr>
                <w:rFonts w:ascii="宋体" w:hAnsi="宋体" w:hint="eastAsia"/>
                <w:sz w:val="24"/>
              </w:rPr>
              <w:t xml:space="preserve"> 1</w:t>
            </w:r>
            <w:r w:rsidRPr="00781DB6">
              <w:rPr>
                <w:rFonts w:ascii="宋体" w:hAnsi="宋体" w:hint="eastAsia"/>
                <w:sz w:val="24"/>
              </w:rPr>
              <w:t>月</w:t>
            </w:r>
            <w:r>
              <w:rPr>
                <w:rFonts w:ascii="宋体" w:hAnsi="宋体" w:hint="eastAsia"/>
                <w:sz w:val="24"/>
              </w:rPr>
              <w:t>14</w:t>
            </w:r>
            <w:r w:rsidRPr="00781DB6">
              <w:rPr>
                <w:rFonts w:ascii="宋体" w:hAnsi="宋体" w:hint="eastAsia"/>
                <w:sz w:val="24"/>
              </w:rPr>
              <w:t>日</w:t>
            </w:r>
          </w:p>
        </w:tc>
      </w:tr>
    </w:tbl>
    <w:p w:rsidR="008B49F2" w:rsidRDefault="0019525A" w:rsidP="00735338">
      <w:pPr>
        <w:spacing w:beforeLines="50" w:before="156"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七</w:t>
      </w:r>
      <w:r w:rsidR="00285C70">
        <w:rPr>
          <w:rFonts w:asciiTheme="minorEastAsia" w:eastAsiaTheme="minorEastAsia" w:hAnsiTheme="minorEastAsia" w:hint="eastAsia"/>
          <w:b/>
          <w:color w:val="000000"/>
          <w:sz w:val="28"/>
          <w:szCs w:val="28"/>
        </w:rPr>
        <w:t>、</w:t>
      </w:r>
      <w:r w:rsidR="008B49F2">
        <w:rPr>
          <w:rFonts w:asciiTheme="minorEastAsia" w:eastAsiaTheme="minorEastAsia" w:hAnsiTheme="minorEastAsia" w:hint="eastAsia"/>
          <w:b/>
          <w:color w:val="000000"/>
          <w:sz w:val="28"/>
          <w:szCs w:val="28"/>
        </w:rPr>
        <w:t>投资账户信息</w:t>
      </w:r>
    </w:p>
    <w:tbl>
      <w:tblPr>
        <w:tblW w:w="8447"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985"/>
        <w:gridCol w:w="1842"/>
        <w:gridCol w:w="1843"/>
        <w:gridCol w:w="1997"/>
      </w:tblGrid>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序号</w:t>
            </w:r>
          </w:p>
        </w:tc>
        <w:tc>
          <w:tcPr>
            <w:tcW w:w="1985"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账户类型</w:t>
            </w:r>
          </w:p>
        </w:tc>
        <w:tc>
          <w:tcPr>
            <w:tcW w:w="1842" w:type="dxa"/>
            <w:vAlign w:val="center"/>
          </w:tcPr>
          <w:p w:rsidR="008B49F2" w:rsidRDefault="008B49F2" w:rsidP="000C4729">
            <w:pPr>
              <w:snapToGrid w:val="0"/>
              <w:jc w:val="center"/>
              <w:rPr>
                <w:rFonts w:ascii="宋体" w:hAnsi="宋体" w:cs="宋体"/>
                <w:kern w:val="0"/>
              </w:rPr>
            </w:pPr>
            <w:r>
              <w:rPr>
                <w:rFonts w:ascii="宋体" w:hAnsi="宋体" w:cs="宋体"/>
                <w:kern w:val="0"/>
              </w:rPr>
              <w:t>账户编号</w:t>
            </w:r>
          </w:p>
        </w:tc>
        <w:tc>
          <w:tcPr>
            <w:tcW w:w="1843"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账户名称</w:t>
            </w:r>
          </w:p>
        </w:tc>
        <w:tc>
          <w:tcPr>
            <w:tcW w:w="1997"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开户单位</w:t>
            </w:r>
          </w:p>
        </w:tc>
      </w:tr>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1</w:t>
            </w:r>
          </w:p>
        </w:tc>
        <w:tc>
          <w:tcPr>
            <w:tcW w:w="1985" w:type="dxa"/>
            <w:vAlign w:val="center"/>
          </w:tcPr>
          <w:p w:rsidR="008B49F2" w:rsidRDefault="00781DB6" w:rsidP="000C4729">
            <w:pPr>
              <w:spacing w:line="360" w:lineRule="auto"/>
              <w:jc w:val="center"/>
              <w:rPr>
                <w:rFonts w:ascii="宋体" w:hAnsi="宋体" w:cs="宋体"/>
                <w:kern w:val="0"/>
              </w:rPr>
            </w:pPr>
            <w:proofErr w:type="gramStart"/>
            <w:r>
              <w:rPr>
                <w:rFonts w:ascii="宋体" w:hAnsi="宋体" w:cs="宋体" w:hint="eastAsia"/>
                <w:kern w:val="0"/>
              </w:rPr>
              <w:t>托管户</w:t>
            </w:r>
            <w:proofErr w:type="gramEnd"/>
          </w:p>
        </w:tc>
        <w:tc>
          <w:tcPr>
            <w:tcW w:w="1842" w:type="dxa"/>
            <w:vAlign w:val="center"/>
          </w:tcPr>
          <w:p w:rsidR="008B49F2" w:rsidRDefault="00781DB6" w:rsidP="000C4729">
            <w:pPr>
              <w:snapToGrid w:val="0"/>
              <w:jc w:val="center"/>
              <w:rPr>
                <w:rFonts w:ascii="宋体" w:hAnsi="宋体" w:cs="宋体"/>
                <w:kern w:val="0"/>
              </w:rPr>
            </w:pPr>
            <w:r w:rsidRPr="00781DB6">
              <w:rPr>
                <w:rFonts w:ascii="宋体" w:hAnsi="宋体" w:cs="宋体"/>
                <w:kern w:val="0"/>
              </w:rPr>
              <w:t>53050187503600000060-0060</w:t>
            </w:r>
          </w:p>
        </w:tc>
        <w:tc>
          <w:tcPr>
            <w:tcW w:w="1843"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中国建设银行股份有限公司云南省分行投资银行理财产品托管专户</w:t>
            </w:r>
          </w:p>
        </w:tc>
        <w:tc>
          <w:tcPr>
            <w:tcW w:w="1997"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中国建设银行股份有限公司昆明祥云支行</w:t>
            </w:r>
          </w:p>
        </w:tc>
      </w:tr>
    </w:tbl>
    <w:p w:rsidR="00AD7F0D" w:rsidRDefault="0019525A" w:rsidP="00AD7F0D">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八</w:t>
      </w:r>
      <w:r w:rsidR="00E028E0">
        <w:rPr>
          <w:rFonts w:asciiTheme="minorEastAsia" w:eastAsiaTheme="minorEastAsia" w:hAnsiTheme="minorEastAsia" w:hint="eastAsia"/>
          <w:b/>
          <w:color w:val="000000"/>
          <w:sz w:val="28"/>
          <w:szCs w:val="28"/>
        </w:rPr>
        <w:t>、</w:t>
      </w:r>
      <w:r w:rsidR="00AD7F0D" w:rsidRPr="00AD7F0D">
        <w:rPr>
          <w:rFonts w:asciiTheme="minorEastAsia" w:eastAsiaTheme="minorEastAsia" w:hAnsiTheme="minorEastAsia" w:hint="eastAsia"/>
          <w:b/>
          <w:color w:val="000000"/>
          <w:sz w:val="28"/>
          <w:szCs w:val="28"/>
        </w:rPr>
        <w:t>报告期内关联交易情况</w:t>
      </w:r>
    </w:p>
    <w:p w:rsidR="00AD7F0D" w:rsidRDefault="00AD7F0D" w:rsidP="00AD7F0D">
      <w:pPr>
        <w:spacing w:line="480" w:lineRule="exact"/>
        <w:ind w:firstLineChars="200" w:firstLine="560"/>
        <w:outlineLvl w:val="0"/>
        <w:rPr>
          <w:rFonts w:asciiTheme="minorEastAsia" w:eastAsiaTheme="minorEastAsia" w:hAnsiTheme="minorEastAsia" w:cs="仿宋_GB2312"/>
          <w:bCs/>
          <w:sz w:val="28"/>
          <w:szCs w:val="28"/>
        </w:rPr>
      </w:pPr>
      <w:r w:rsidRPr="00AD7F0D">
        <w:rPr>
          <w:rFonts w:asciiTheme="minorEastAsia" w:eastAsiaTheme="minorEastAsia" w:hAnsiTheme="minorEastAsia" w:hint="eastAsia"/>
          <w:color w:val="000000"/>
          <w:sz w:val="28"/>
          <w:szCs w:val="28"/>
        </w:rPr>
        <w:t>（一）</w:t>
      </w:r>
      <w:r w:rsidRPr="00AD7F0D">
        <w:rPr>
          <w:rFonts w:asciiTheme="minorEastAsia" w:eastAsiaTheme="minorEastAsia" w:hAnsiTheme="minorEastAsia" w:cs="仿宋_GB2312" w:hint="eastAsia"/>
          <w:bCs/>
          <w:sz w:val="28"/>
          <w:szCs w:val="28"/>
        </w:rPr>
        <w:t>产品持有关联</w:t>
      </w:r>
      <w:proofErr w:type="gramStart"/>
      <w:r w:rsidRPr="00AD7F0D">
        <w:rPr>
          <w:rFonts w:asciiTheme="minorEastAsia" w:eastAsiaTheme="minorEastAsia" w:hAnsiTheme="minorEastAsia" w:cs="仿宋_GB2312" w:hint="eastAsia"/>
          <w:bCs/>
          <w:sz w:val="28"/>
          <w:szCs w:val="28"/>
        </w:rPr>
        <w:t>方发行</w:t>
      </w:r>
      <w:proofErr w:type="gramEnd"/>
      <w:r w:rsidRPr="00AD7F0D">
        <w:rPr>
          <w:rFonts w:asciiTheme="minorEastAsia" w:eastAsiaTheme="minorEastAsia" w:hAnsiTheme="minorEastAsia" w:cs="仿宋_GB2312" w:hint="eastAsia"/>
          <w:bCs/>
          <w:sz w:val="28"/>
          <w:szCs w:val="28"/>
        </w:rPr>
        <w:t>或承销的证券</w:t>
      </w:r>
    </w:p>
    <w:p w:rsidR="00781DB6" w:rsidRDefault="00781DB6" w:rsidP="00AD7F0D">
      <w:pPr>
        <w:spacing w:line="480" w:lineRule="exact"/>
        <w:ind w:firstLineChars="200" w:firstLine="560"/>
        <w:outlineLvl w:val="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无</w:t>
      </w:r>
    </w:p>
    <w:p w:rsidR="00AD7F0D" w:rsidRDefault="00AD7F0D"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（二）</w:t>
      </w:r>
      <w:r w:rsidRPr="00AD7F0D">
        <w:rPr>
          <w:rFonts w:asciiTheme="minorEastAsia" w:eastAsiaTheme="minorEastAsia" w:hAnsiTheme="minorEastAsia" w:hint="eastAsia"/>
          <w:color w:val="000000"/>
          <w:sz w:val="28"/>
          <w:szCs w:val="28"/>
          <w:lang w:val="x-none"/>
        </w:rPr>
        <w:t>其他重大关联交易</w:t>
      </w:r>
    </w:p>
    <w:p w:rsidR="00781DB6" w:rsidRDefault="00781DB6"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无</w:t>
      </w:r>
    </w:p>
    <w:p w:rsidR="00E028E0" w:rsidRPr="00E028E0" w:rsidRDefault="0019525A" w:rsidP="00E028E0">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九</w:t>
      </w:r>
      <w:r w:rsidR="00AD7F0D">
        <w:rPr>
          <w:rFonts w:asciiTheme="minorEastAsia" w:eastAsiaTheme="minorEastAsia" w:hAnsiTheme="minorEastAsia" w:hint="eastAsia"/>
          <w:b/>
          <w:color w:val="000000"/>
          <w:sz w:val="28"/>
          <w:szCs w:val="28"/>
        </w:rPr>
        <w:t>、</w:t>
      </w:r>
      <w:r w:rsidR="00E028E0" w:rsidRPr="00346C2E">
        <w:rPr>
          <w:rFonts w:asciiTheme="minorEastAsia" w:eastAsiaTheme="minorEastAsia" w:hAnsiTheme="minorEastAsia" w:hint="eastAsia"/>
          <w:b/>
          <w:color w:val="000000"/>
          <w:sz w:val="28"/>
          <w:szCs w:val="28"/>
        </w:rPr>
        <w:t>投资非标准化债权</w:t>
      </w:r>
      <w:r w:rsidR="00E028E0">
        <w:rPr>
          <w:rFonts w:asciiTheme="minorEastAsia" w:eastAsiaTheme="minorEastAsia" w:hAnsiTheme="minorEastAsia" w:hint="eastAsia"/>
          <w:b/>
          <w:color w:val="000000"/>
          <w:sz w:val="28"/>
          <w:szCs w:val="28"/>
        </w:rPr>
        <w:t>及股权类</w:t>
      </w:r>
      <w:r w:rsidR="00E028E0" w:rsidRPr="00346C2E">
        <w:rPr>
          <w:rFonts w:asciiTheme="minorEastAsia" w:eastAsiaTheme="minorEastAsia" w:hAnsiTheme="minorEastAsia" w:hint="eastAsia"/>
          <w:b/>
          <w:color w:val="000000"/>
          <w:sz w:val="28"/>
          <w:szCs w:val="28"/>
        </w:rPr>
        <w:t>资产清单（见附录一）</w:t>
      </w:r>
    </w:p>
    <w:p w:rsidR="00747E15" w:rsidRPr="00437C59" w:rsidRDefault="00735338" w:rsidP="00C61B7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十</w:t>
      </w:r>
      <w:r w:rsidR="00F33FC4" w:rsidRPr="00437C59">
        <w:rPr>
          <w:rFonts w:asciiTheme="minorEastAsia" w:eastAsiaTheme="minorEastAsia" w:hAnsiTheme="minorEastAsia" w:hint="eastAsia"/>
          <w:b/>
          <w:color w:val="000000"/>
          <w:sz w:val="28"/>
          <w:szCs w:val="28"/>
        </w:rPr>
        <w:t>、</w:t>
      </w:r>
      <w:r w:rsidR="00747E15" w:rsidRPr="00437C59">
        <w:rPr>
          <w:rFonts w:asciiTheme="minorEastAsia" w:eastAsiaTheme="minorEastAsia" w:hAnsiTheme="minorEastAsia" w:hint="eastAsia"/>
          <w:b/>
          <w:color w:val="000000"/>
          <w:sz w:val="28"/>
          <w:szCs w:val="28"/>
        </w:rPr>
        <w:t>产品整体运作情况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（一）本产品自成立至本报告日，产品管理人恪尽职守、勤勉尽责、谨慎管理，忠实履行有关法律、行政法规和相关文件的规定。</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（二）截至本报告日，所有投资资产正常运营，未发现有异常情</w:t>
      </w:r>
      <w:r w:rsidRPr="00437C59">
        <w:rPr>
          <w:rFonts w:asciiTheme="minorEastAsia" w:eastAsiaTheme="minorEastAsia" w:hAnsiTheme="minorEastAsia" w:hint="eastAsia"/>
          <w:color w:val="000000"/>
          <w:sz w:val="28"/>
          <w:szCs w:val="28"/>
        </w:rPr>
        <w:lastRenderedPageBreak/>
        <w:t>况或不利情况。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（三）本产品自成立至本报告日，没有发生涉诉及诉讼等损害投资者利益的情况。</w:t>
      </w:r>
    </w:p>
    <w:p w:rsidR="00747E15"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特此公告</w:t>
      </w:r>
      <w:r w:rsidR="00747E15" w:rsidRPr="00437C59">
        <w:rPr>
          <w:rFonts w:asciiTheme="minorEastAsia" w:eastAsiaTheme="minorEastAsia" w:hAnsiTheme="minorEastAsia" w:hint="eastAsia"/>
          <w:color w:val="000000"/>
          <w:sz w:val="28"/>
          <w:szCs w:val="28"/>
        </w:rPr>
        <w:t xml:space="preserve">               </w:t>
      </w:r>
    </w:p>
    <w:p w:rsidR="00747E15" w:rsidRPr="00437C59" w:rsidRDefault="00747E15" w:rsidP="00C61B7B">
      <w:pPr>
        <w:spacing w:line="480" w:lineRule="exact"/>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 xml:space="preserve">         </w:t>
      </w:r>
      <w:r w:rsidR="00781DB6">
        <w:rPr>
          <w:rFonts w:asciiTheme="minorEastAsia" w:eastAsiaTheme="minorEastAsia" w:hAnsiTheme="minorEastAsia" w:hint="eastAsia"/>
          <w:color w:val="000000"/>
          <w:sz w:val="28"/>
          <w:szCs w:val="28"/>
        </w:rPr>
        <w:t xml:space="preserve">                       </w:t>
      </w:r>
      <w:r w:rsidRPr="00437C59">
        <w:rPr>
          <w:rFonts w:asciiTheme="minorEastAsia" w:eastAsiaTheme="minorEastAsia" w:hAnsiTheme="minorEastAsia" w:hint="eastAsia"/>
          <w:color w:val="000000"/>
          <w:sz w:val="28"/>
          <w:szCs w:val="28"/>
        </w:rPr>
        <w:t xml:space="preserve"> 中国建设银行</w:t>
      </w:r>
      <w:r w:rsidR="00781DB6">
        <w:rPr>
          <w:rFonts w:asciiTheme="minorEastAsia" w:eastAsiaTheme="minorEastAsia" w:hAnsiTheme="minorEastAsia" w:hint="eastAsia"/>
          <w:color w:val="000000"/>
          <w:sz w:val="28"/>
          <w:szCs w:val="28"/>
        </w:rPr>
        <w:t>云南省分行</w:t>
      </w:r>
    </w:p>
    <w:p w:rsidR="00747E15" w:rsidRPr="00437C59" w:rsidRDefault="003E34C4" w:rsidP="00C61B7B">
      <w:pPr>
        <w:spacing w:line="480" w:lineRule="exact"/>
        <w:ind w:right="-58" w:firstLineChars="200" w:firstLine="56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2020</w:t>
      </w:r>
      <w:r w:rsidR="00747E15" w:rsidRPr="00437C59">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1</w:t>
      </w:r>
      <w:r w:rsidR="00747E15" w:rsidRPr="00437C59">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14</w:t>
      </w:r>
      <w:r w:rsidR="00747E15" w:rsidRPr="00437C59">
        <w:rPr>
          <w:rFonts w:asciiTheme="minorEastAsia" w:eastAsiaTheme="minorEastAsia" w:hAnsiTheme="minorEastAsia" w:hint="eastAsia"/>
          <w:color w:val="000000"/>
          <w:sz w:val="28"/>
          <w:szCs w:val="28"/>
        </w:rPr>
        <w:t>日</w:t>
      </w:r>
    </w:p>
    <w:p w:rsidR="00961315" w:rsidRDefault="00C85517" w:rsidP="00C85517">
      <w:pPr>
        <w:rPr>
          <w:rFonts w:asciiTheme="minorEastAsia" w:eastAsiaTheme="minorEastAsia" w:hAnsiTheme="minorEastAsia"/>
        </w:rPr>
      </w:pPr>
      <w:r w:rsidRPr="00C61B7B">
        <w:rPr>
          <w:rFonts w:asciiTheme="minorEastAsia" w:eastAsiaTheme="minorEastAsia" w:hAnsiTheme="minorEastAsia"/>
        </w:rPr>
        <w:t xml:space="preserve"> </w:t>
      </w: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rFonts w:hint="eastAsia"/>
          <w:b/>
          <w:color w:val="000000"/>
          <w:sz w:val="24"/>
          <w:szCs w:val="24"/>
        </w:rPr>
      </w:pPr>
    </w:p>
    <w:p w:rsidR="003E34C4" w:rsidRDefault="003E34C4" w:rsidP="00783ADA">
      <w:pPr>
        <w:rPr>
          <w:b/>
          <w:color w:val="000000"/>
          <w:sz w:val="24"/>
          <w:szCs w:val="24"/>
        </w:rPr>
      </w:pPr>
      <w:bookmarkStart w:id="0" w:name="_GoBack"/>
      <w:bookmarkEnd w:id="0"/>
    </w:p>
    <w:p w:rsidR="0019525A" w:rsidRDefault="0019525A" w:rsidP="00783ADA">
      <w:pPr>
        <w:rPr>
          <w:b/>
          <w:color w:val="000000"/>
          <w:sz w:val="24"/>
          <w:szCs w:val="24"/>
        </w:rPr>
      </w:pPr>
    </w:p>
    <w:p w:rsidR="0019525A" w:rsidRDefault="0019525A"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783ADA" w:rsidRDefault="00783ADA" w:rsidP="00783ADA">
      <w:pPr>
        <w:rPr>
          <w:b/>
          <w:color w:val="000000"/>
          <w:sz w:val="24"/>
          <w:szCs w:val="24"/>
        </w:rPr>
      </w:pPr>
      <w:r>
        <w:rPr>
          <w:rFonts w:hint="eastAsia"/>
          <w:b/>
          <w:color w:val="000000"/>
          <w:sz w:val="24"/>
          <w:szCs w:val="24"/>
        </w:rPr>
        <w:lastRenderedPageBreak/>
        <w:t>附录一</w:t>
      </w:r>
    </w:p>
    <w:p w:rsidR="00783ADA" w:rsidRDefault="00783ADA" w:rsidP="00783ADA">
      <w:pPr>
        <w:rPr>
          <w:b/>
          <w:color w:val="000000"/>
          <w:sz w:val="24"/>
          <w:szCs w:val="24"/>
        </w:rPr>
      </w:pPr>
    </w:p>
    <w:p w:rsidR="00783ADA" w:rsidRDefault="00781DB6" w:rsidP="00783ADA">
      <w:pPr>
        <w:jc w:val="center"/>
        <w:rPr>
          <w:b/>
          <w:color w:val="000000"/>
          <w:sz w:val="24"/>
          <w:szCs w:val="24"/>
        </w:rPr>
      </w:pPr>
      <w:r w:rsidRPr="00781DB6">
        <w:rPr>
          <w:rFonts w:hint="eastAsia"/>
          <w:b/>
          <w:color w:val="000000"/>
          <w:sz w:val="24"/>
          <w:szCs w:val="24"/>
        </w:rPr>
        <w:t>中国建设银行云南省分行“乾元</w:t>
      </w:r>
      <w:r w:rsidRPr="00781DB6">
        <w:rPr>
          <w:rFonts w:hint="eastAsia"/>
          <w:b/>
          <w:color w:val="000000"/>
          <w:sz w:val="24"/>
          <w:szCs w:val="24"/>
        </w:rPr>
        <w:t>-</w:t>
      </w:r>
      <w:r w:rsidRPr="00781DB6">
        <w:rPr>
          <w:rFonts w:hint="eastAsia"/>
          <w:b/>
          <w:color w:val="000000"/>
          <w:sz w:val="24"/>
          <w:szCs w:val="24"/>
        </w:rPr>
        <w:t>稳赢”</w:t>
      </w:r>
      <w:r w:rsidRPr="00781DB6">
        <w:rPr>
          <w:rFonts w:hint="eastAsia"/>
          <w:b/>
          <w:color w:val="000000"/>
          <w:sz w:val="24"/>
          <w:szCs w:val="24"/>
        </w:rPr>
        <w:t xml:space="preserve"> (</w:t>
      </w:r>
      <w:r w:rsidRPr="00781DB6">
        <w:rPr>
          <w:rFonts w:hint="eastAsia"/>
          <w:b/>
          <w:color w:val="000000"/>
          <w:sz w:val="24"/>
          <w:szCs w:val="24"/>
        </w:rPr>
        <w:t>公募</w:t>
      </w:r>
      <w:r w:rsidRPr="00781DB6">
        <w:rPr>
          <w:rFonts w:hint="eastAsia"/>
          <w:b/>
          <w:color w:val="000000"/>
          <w:sz w:val="24"/>
          <w:szCs w:val="24"/>
        </w:rPr>
        <w:t>) 2019</w:t>
      </w:r>
      <w:r w:rsidRPr="00781DB6">
        <w:rPr>
          <w:rFonts w:hint="eastAsia"/>
          <w:b/>
          <w:color w:val="000000"/>
          <w:sz w:val="24"/>
          <w:szCs w:val="24"/>
        </w:rPr>
        <w:t>年第</w:t>
      </w:r>
      <w:r w:rsidRPr="00781DB6">
        <w:rPr>
          <w:rFonts w:hint="eastAsia"/>
          <w:b/>
          <w:color w:val="000000"/>
          <w:sz w:val="24"/>
          <w:szCs w:val="24"/>
        </w:rPr>
        <w:t>1</w:t>
      </w:r>
      <w:r w:rsidRPr="00781DB6">
        <w:rPr>
          <w:rFonts w:hint="eastAsia"/>
          <w:b/>
          <w:color w:val="000000"/>
          <w:sz w:val="24"/>
          <w:szCs w:val="24"/>
        </w:rPr>
        <w:t>期封闭式净值型人民币</w:t>
      </w:r>
      <w:r w:rsidR="00783ADA">
        <w:rPr>
          <w:rFonts w:hint="eastAsia"/>
          <w:b/>
          <w:color w:val="000000"/>
          <w:sz w:val="24"/>
          <w:szCs w:val="24"/>
        </w:rPr>
        <w:t>理财产品投资非标准化债权</w:t>
      </w:r>
      <w:r w:rsidR="00976495">
        <w:rPr>
          <w:rFonts w:hint="eastAsia"/>
          <w:b/>
          <w:color w:val="000000"/>
          <w:sz w:val="24"/>
          <w:szCs w:val="24"/>
        </w:rPr>
        <w:t>及股权类</w:t>
      </w:r>
      <w:r w:rsidR="00783ADA">
        <w:rPr>
          <w:rFonts w:hint="eastAsia"/>
          <w:b/>
          <w:color w:val="000000"/>
          <w:sz w:val="24"/>
          <w:szCs w:val="24"/>
        </w:rPr>
        <w:t>资产清单</w:t>
      </w:r>
    </w:p>
    <w:p w:rsidR="00783ADA" w:rsidRDefault="00783ADA" w:rsidP="00783ADA">
      <w:pPr>
        <w:spacing w:line="480" w:lineRule="exact"/>
        <w:ind w:firstLineChars="200" w:firstLine="420"/>
        <w:jc w:val="center"/>
        <w:rPr>
          <w:rFonts w:ascii="宋体" w:hAnsi="宋体"/>
          <w:color w:val="000000"/>
          <w:szCs w:val="21"/>
        </w:rPr>
      </w:pPr>
      <w:r>
        <w:rPr>
          <w:rFonts w:ascii="宋体" w:hAnsi="宋体" w:hint="eastAsia"/>
          <w:color w:val="000000"/>
          <w:szCs w:val="21"/>
        </w:rPr>
        <w:t>报告日：</w:t>
      </w:r>
      <w:r w:rsidR="00781DB6">
        <w:rPr>
          <w:rFonts w:ascii="宋体" w:hAnsi="宋体" w:hint="eastAsia"/>
          <w:color w:val="000000"/>
          <w:szCs w:val="21"/>
        </w:rPr>
        <w:t>2019</w:t>
      </w:r>
      <w:r>
        <w:rPr>
          <w:rFonts w:ascii="宋体" w:hAnsi="宋体" w:hint="eastAsia"/>
          <w:color w:val="000000"/>
          <w:szCs w:val="21"/>
        </w:rPr>
        <w:t>年</w:t>
      </w:r>
      <w:r w:rsidR="003E34C4">
        <w:rPr>
          <w:rFonts w:ascii="宋体" w:hAnsi="宋体" w:hint="eastAsia"/>
          <w:color w:val="000000"/>
          <w:szCs w:val="21"/>
        </w:rPr>
        <w:t>12</w:t>
      </w:r>
      <w:r>
        <w:rPr>
          <w:rFonts w:ascii="宋体" w:hAnsi="宋体" w:hint="eastAsia"/>
          <w:color w:val="000000"/>
          <w:szCs w:val="21"/>
        </w:rPr>
        <w:t>月</w:t>
      </w:r>
      <w:r w:rsidR="003E34C4">
        <w:rPr>
          <w:rFonts w:ascii="宋体" w:hAnsi="宋体" w:hint="eastAsia"/>
          <w:color w:val="000000"/>
          <w:szCs w:val="21"/>
        </w:rPr>
        <w:t>31</w:t>
      </w:r>
      <w:r>
        <w:rPr>
          <w:rFonts w:ascii="宋体" w:hAnsi="宋体" w:hint="eastAsia"/>
          <w:color w:val="000000"/>
          <w:szCs w:val="21"/>
        </w:rPr>
        <w:t xml:space="preserve">日    </w:t>
      </w:r>
    </w:p>
    <w:p w:rsidR="00783ADA" w:rsidRDefault="00783ADA" w:rsidP="00783ADA">
      <w:pPr>
        <w:spacing w:line="480" w:lineRule="exact"/>
        <w:ind w:firstLineChars="200" w:firstLine="420"/>
        <w:rPr>
          <w:rFonts w:ascii="宋体" w:hAnsi="宋体"/>
          <w:color w:val="000000"/>
          <w:szCs w:val="21"/>
        </w:rPr>
      </w:pPr>
      <w:r>
        <w:rPr>
          <w:rFonts w:ascii="宋体" w:hAnsi="宋体" w:hint="eastAsia"/>
          <w:color w:val="000000"/>
          <w:szCs w:val="21"/>
        </w:rPr>
        <w:t>我行依照</w:t>
      </w:r>
      <w:r w:rsidR="00976495">
        <w:rPr>
          <w:rFonts w:ascii="宋体" w:hAnsi="宋体" w:hint="eastAsia"/>
          <w:color w:val="000000"/>
          <w:szCs w:val="21"/>
        </w:rPr>
        <w:t>监管</w:t>
      </w:r>
      <w:r>
        <w:rPr>
          <w:rFonts w:ascii="宋体" w:hAnsi="宋体" w:hint="eastAsia"/>
          <w:color w:val="000000"/>
          <w:szCs w:val="21"/>
        </w:rPr>
        <w:t>要求，现对</w:t>
      </w:r>
      <w:r w:rsidR="00781DB6" w:rsidRPr="00781DB6">
        <w:rPr>
          <w:rFonts w:ascii="宋体" w:hAnsi="宋体" w:hint="eastAsia"/>
          <w:color w:val="000000"/>
          <w:szCs w:val="21"/>
        </w:rPr>
        <w:t>中国建设银行云南省分行“乾元-稳赢” (公募) 2019年第1期封闭式净值型人民币</w:t>
      </w:r>
      <w:r>
        <w:rPr>
          <w:rFonts w:ascii="宋体" w:hAnsi="宋体" w:hint="eastAsia"/>
          <w:color w:val="000000"/>
          <w:szCs w:val="21"/>
        </w:rPr>
        <w:t>理财产品投资非标准化债权</w:t>
      </w:r>
      <w:r w:rsidR="00976495">
        <w:rPr>
          <w:rFonts w:ascii="宋体" w:hAnsi="宋体" w:hint="eastAsia"/>
          <w:color w:val="000000"/>
          <w:szCs w:val="21"/>
        </w:rPr>
        <w:t>及股权类</w:t>
      </w:r>
      <w:r>
        <w:rPr>
          <w:rFonts w:ascii="宋体" w:hAnsi="宋体" w:hint="eastAsia"/>
          <w:color w:val="000000"/>
          <w:szCs w:val="21"/>
        </w:rPr>
        <w:t>资产清单披露如下：</w:t>
      </w:r>
    </w:p>
    <w:tbl>
      <w:tblPr>
        <w:tblW w:w="5000" w:type="pct"/>
        <w:jc w:val="center"/>
        <w:tblLayout w:type="fixed"/>
        <w:tblLook w:val="04A0" w:firstRow="1" w:lastRow="0" w:firstColumn="1" w:lastColumn="0" w:noHBand="0" w:noVBand="1"/>
      </w:tblPr>
      <w:tblGrid>
        <w:gridCol w:w="3934"/>
        <w:gridCol w:w="1420"/>
        <w:gridCol w:w="1275"/>
        <w:gridCol w:w="1135"/>
        <w:gridCol w:w="758"/>
      </w:tblGrid>
      <w:tr w:rsidR="00660E94" w:rsidTr="00587168">
        <w:trPr>
          <w:trHeight w:val="765"/>
          <w:jc w:val="center"/>
        </w:trPr>
        <w:tc>
          <w:tcPr>
            <w:tcW w:w="2308"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交易结构</w:t>
            </w:r>
          </w:p>
        </w:tc>
        <w:tc>
          <w:tcPr>
            <w:tcW w:w="833" w:type="pct"/>
            <w:tcBorders>
              <w:top w:val="single" w:sz="4" w:space="0" w:color="auto"/>
              <w:left w:val="nil"/>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融资客户名称</w:t>
            </w:r>
          </w:p>
        </w:tc>
        <w:tc>
          <w:tcPr>
            <w:tcW w:w="748" w:type="pct"/>
            <w:tcBorders>
              <w:top w:val="single" w:sz="4" w:space="0" w:color="auto"/>
              <w:left w:val="nil"/>
              <w:bottom w:val="single" w:sz="4" w:space="0" w:color="auto"/>
              <w:right w:val="single" w:sz="4" w:space="0" w:color="auto"/>
            </w:tcBorders>
            <w:vAlign w:val="center"/>
          </w:tcPr>
          <w:p w:rsidR="00660E94" w:rsidRDefault="00660E94" w:rsidP="00660E94">
            <w:pPr>
              <w:widowControl/>
              <w:jc w:val="center"/>
              <w:rPr>
                <w:rFonts w:ascii="宋体" w:hAnsi="宋体" w:cs="宋体"/>
                <w:b/>
                <w:bCs/>
                <w:color w:val="000000"/>
                <w:kern w:val="0"/>
                <w:szCs w:val="21"/>
              </w:rPr>
            </w:pPr>
            <w:r>
              <w:rPr>
                <w:rFonts w:ascii="宋体" w:hAnsi="宋体" w:cs="宋体" w:hint="eastAsia"/>
                <w:b/>
                <w:bCs/>
                <w:color w:val="000000"/>
                <w:kern w:val="0"/>
                <w:szCs w:val="21"/>
              </w:rPr>
              <w:t>项目名称</w:t>
            </w:r>
          </w:p>
        </w:tc>
        <w:tc>
          <w:tcPr>
            <w:tcW w:w="666"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剩余融资期限（天）</w:t>
            </w:r>
          </w:p>
        </w:tc>
        <w:tc>
          <w:tcPr>
            <w:tcW w:w="445" w:type="pct"/>
            <w:tcBorders>
              <w:top w:val="single" w:sz="4" w:space="0" w:color="auto"/>
              <w:left w:val="nil"/>
              <w:bottom w:val="single" w:sz="4" w:space="0" w:color="auto"/>
              <w:right w:val="single" w:sz="4" w:space="0" w:color="auto"/>
            </w:tcBorders>
            <w:vAlign w:val="center"/>
            <w:hideMark/>
          </w:tcPr>
          <w:p w:rsidR="00660E94" w:rsidRDefault="001645F7">
            <w:pPr>
              <w:widowControl/>
              <w:jc w:val="center"/>
              <w:rPr>
                <w:rFonts w:ascii="宋体" w:hAnsi="宋体" w:cs="宋体"/>
                <w:b/>
                <w:bCs/>
                <w:color w:val="000000"/>
                <w:kern w:val="0"/>
                <w:szCs w:val="21"/>
              </w:rPr>
            </w:pPr>
            <w:r>
              <w:rPr>
                <w:rFonts w:ascii="宋体" w:hAnsi="宋体" w:cs="宋体" w:hint="eastAsia"/>
                <w:b/>
                <w:bCs/>
                <w:color w:val="000000"/>
                <w:kern w:val="0"/>
                <w:szCs w:val="21"/>
              </w:rPr>
              <w:t>风险状况</w:t>
            </w:r>
          </w:p>
        </w:tc>
      </w:tr>
      <w:tr w:rsidR="00587168" w:rsidTr="00587168">
        <w:trPr>
          <w:trHeight w:val="240"/>
          <w:jc w:val="center"/>
        </w:trPr>
        <w:tc>
          <w:tcPr>
            <w:tcW w:w="230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本期理财产品募集资金投资于云南滇中城市建设投资开发有限责任公司持有至到期的资产收益权（</w:t>
            </w:r>
            <w:proofErr w:type="gramStart"/>
            <w:r w:rsidRPr="00587168">
              <w:rPr>
                <w:rFonts w:hint="eastAsia"/>
              </w:rPr>
              <w:t>海益二号</w:t>
            </w:r>
            <w:proofErr w:type="gramEnd"/>
            <w:r w:rsidRPr="00587168">
              <w:rPr>
                <w:rFonts w:hint="eastAsia"/>
              </w:rPr>
              <w:t>债券投资集合资金信托计划），用于云南滇中城市建设投资开发有限责任公司滇中空港商务广场配套酒店装修使用，由云南省滇中产业发展集团有限责任公司提供连带责任保证。</w:t>
            </w:r>
          </w:p>
        </w:tc>
        <w:tc>
          <w:tcPr>
            <w:tcW w:w="833" w:type="pct"/>
            <w:tcBorders>
              <w:top w:val="single" w:sz="4" w:space="0" w:color="auto"/>
              <w:left w:val="nil"/>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云南滇中城市建设投资开发有限责任公司</w:t>
            </w:r>
          </w:p>
        </w:tc>
        <w:tc>
          <w:tcPr>
            <w:tcW w:w="748" w:type="pct"/>
            <w:tcBorders>
              <w:top w:val="single" w:sz="4" w:space="0" w:color="auto"/>
              <w:left w:val="nil"/>
              <w:bottom w:val="single" w:sz="4" w:space="0" w:color="auto"/>
              <w:right w:val="single" w:sz="4" w:space="0" w:color="auto"/>
            </w:tcBorders>
            <w:shd w:val="clear" w:color="auto" w:fill="FFFFFF"/>
          </w:tcPr>
          <w:p w:rsidR="00660E94" w:rsidRDefault="00587168">
            <w:pPr>
              <w:jc w:val="center"/>
            </w:pPr>
            <w:r w:rsidRPr="00587168">
              <w:rPr>
                <w:rFonts w:hint="eastAsia"/>
              </w:rPr>
              <w:t>云南滇中城市建设投资开发有限责任公司非标准化债权资产</w:t>
            </w:r>
          </w:p>
        </w:tc>
        <w:tc>
          <w:tcPr>
            <w:tcW w:w="66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3E34C4">
            <w:pPr>
              <w:jc w:val="center"/>
            </w:pPr>
            <w:r>
              <w:rPr>
                <w:rFonts w:hint="eastAsia"/>
              </w:rPr>
              <w:t>360</w:t>
            </w:r>
          </w:p>
        </w:tc>
        <w:tc>
          <w:tcPr>
            <w:tcW w:w="445" w:type="pct"/>
            <w:tcBorders>
              <w:top w:val="single" w:sz="4" w:space="0" w:color="auto"/>
              <w:left w:val="nil"/>
              <w:bottom w:val="single" w:sz="4" w:space="0" w:color="auto"/>
              <w:right w:val="single" w:sz="4" w:space="0" w:color="auto"/>
            </w:tcBorders>
            <w:noWrap/>
            <w:vAlign w:val="center"/>
          </w:tcPr>
          <w:p w:rsidR="00660E94" w:rsidRDefault="00587168">
            <w:pPr>
              <w:widowControl/>
              <w:jc w:val="left"/>
              <w:rPr>
                <w:rFonts w:asciiTheme="minorHAnsi" w:hAnsiTheme="minorHAnsi" w:cstheme="minorBidi"/>
              </w:rPr>
            </w:pPr>
            <w:r>
              <w:rPr>
                <w:rFonts w:asciiTheme="minorHAnsi" w:hAnsiTheme="minorHAnsi" w:cstheme="minorBidi" w:hint="eastAsia"/>
              </w:rPr>
              <w:t>正常</w:t>
            </w:r>
          </w:p>
        </w:tc>
      </w:tr>
    </w:tbl>
    <w:p w:rsidR="00783ADA" w:rsidRPr="004738BC" w:rsidRDefault="004B78FA" w:rsidP="004738BC">
      <w:pPr>
        <w:spacing w:line="480" w:lineRule="exact"/>
        <w:rPr>
          <w:rFonts w:ascii="宋体" w:hAnsi="宋体"/>
          <w:color w:val="000000"/>
          <w:szCs w:val="21"/>
        </w:rPr>
      </w:pPr>
      <w:r>
        <w:rPr>
          <w:rFonts w:ascii="彩虹粗仿宋" w:eastAsia="彩虹粗仿宋" w:hAnsi="宋体" w:cs="宋体" w:hint="eastAsia"/>
          <w:color w:val="000000"/>
          <w:kern w:val="0"/>
          <w:szCs w:val="21"/>
        </w:rPr>
        <w:t xml:space="preserve">   </w:t>
      </w:r>
      <w:r w:rsidR="00783ADA">
        <w:rPr>
          <w:rFonts w:ascii="彩虹粗仿宋" w:eastAsia="彩虹粗仿宋" w:hAnsi="宋体" w:cs="宋体" w:hint="eastAsia"/>
          <w:color w:val="000000"/>
          <w:kern w:val="0"/>
          <w:szCs w:val="21"/>
        </w:rPr>
        <w:t>到期收益分配详见产品说明书。</w:t>
      </w:r>
    </w:p>
    <w:sectPr w:rsidR="00783ADA" w:rsidRPr="00473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97A" w:rsidRDefault="003A097A" w:rsidP="00747E15">
      <w:r>
        <w:separator/>
      </w:r>
    </w:p>
  </w:endnote>
  <w:endnote w:type="continuationSeparator" w:id="0">
    <w:p w:rsidR="003A097A" w:rsidRDefault="003A097A" w:rsidP="0074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彩虹粗仿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97A" w:rsidRDefault="003A097A" w:rsidP="00747E15">
      <w:r>
        <w:separator/>
      </w:r>
    </w:p>
  </w:footnote>
  <w:footnote w:type="continuationSeparator" w:id="0">
    <w:p w:rsidR="003A097A" w:rsidRDefault="003A097A" w:rsidP="0074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4B"/>
    <w:rsid w:val="00000EA6"/>
    <w:rsid w:val="00004B86"/>
    <w:rsid w:val="00026C30"/>
    <w:rsid w:val="00032483"/>
    <w:rsid w:val="00034EB1"/>
    <w:rsid w:val="00041CF5"/>
    <w:rsid w:val="0004473E"/>
    <w:rsid w:val="00050B6D"/>
    <w:rsid w:val="00057F41"/>
    <w:rsid w:val="00062AD3"/>
    <w:rsid w:val="00063A00"/>
    <w:rsid w:val="00064987"/>
    <w:rsid w:val="000A58C0"/>
    <w:rsid w:val="000A7A07"/>
    <w:rsid w:val="000B2257"/>
    <w:rsid w:val="000B6D04"/>
    <w:rsid w:val="000F4ED6"/>
    <w:rsid w:val="000F5E7E"/>
    <w:rsid w:val="00106270"/>
    <w:rsid w:val="00117AFB"/>
    <w:rsid w:val="00120614"/>
    <w:rsid w:val="00120E2F"/>
    <w:rsid w:val="001253E2"/>
    <w:rsid w:val="00126391"/>
    <w:rsid w:val="00131840"/>
    <w:rsid w:val="00132193"/>
    <w:rsid w:val="00153C80"/>
    <w:rsid w:val="00154D69"/>
    <w:rsid w:val="0015543C"/>
    <w:rsid w:val="001645F7"/>
    <w:rsid w:val="001654BE"/>
    <w:rsid w:val="0017482E"/>
    <w:rsid w:val="0017771F"/>
    <w:rsid w:val="00194B35"/>
    <w:rsid w:val="0019525A"/>
    <w:rsid w:val="001A1254"/>
    <w:rsid w:val="001A1F0C"/>
    <w:rsid w:val="001A204D"/>
    <w:rsid w:val="001C207C"/>
    <w:rsid w:val="001C51CC"/>
    <w:rsid w:val="001E0ABA"/>
    <w:rsid w:val="001E60BC"/>
    <w:rsid w:val="001E70EA"/>
    <w:rsid w:val="001F3D33"/>
    <w:rsid w:val="001F4173"/>
    <w:rsid w:val="00202B18"/>
    <w:rsid w:val="00206C50"/>
    <w:rsid w:val="00212278"/>
    <w:rsid w:val="00215713"/>
    <w:rsid w:val="00222168"/>
    <w:rsid w:val="002228F3"/>
    <w:rsid w:val="00225A63"/>
    <w:rsid w:val="00233ACD"/>
    <w:rsid w:val="00240A06"/>
    <w:rsid w:val="00240B03"/>
    <w:rsid w:val="00245012"/>
    <w:rsid w:val="00264E8C"/>
    <w:rsid w:val="00266DC8"/>
    <w:rsid w:val="00272D45"/>
    <w:rsid w:val="002767A0"/>
    <w:rsid w:val="00285C70"/>
    <w:rsid w:val="00286C46"/>
    <w:rsid w:val="002900EE"/>
    <w:rsid w:val="00292733"/>
    <w:rsid w:val="00293553"/>
    <w:rsid w:val="002974F6"/>
    <w:rsid w:val="002A0C80"/>
    <w:rsid w:val="002A2DCC"/>
    <w:rsid w:val="002B1B4E"/>
    <w:rsid w:val="002C72A6"/>
    <w:rsid w:val="002F02E2"/>
    <w:rsid w:val="002F21B2"/>
    <w:rsid w:val="00305DE3"/>
    <w:rsid w:val="00326849"/>
    <w:rsid w:val="00332886"/>
    <w:rsid w:val="00333409"/>
    <w:rsid w:val="00346C2E"/>
    <w:rsid w:val="003729DF"/>
    <w:rsid w:val="00373677"/>
    <w:rsid w:val="0039500D"/>
    <w:rsid w:val="003A097A"/>
    <w:rsid w:val="003D3F6C"/>
    <w:rsid w:val="003E0232"/>
    <w:rsid w:val="003E34C4"/>
    <w:rsid w:val="003E4D8B"/>
    <w:rsid w:val="00404027"/>
    <w:rsid w:val="004118B6"/>
    <w:rsid w:val="00417D2B"/>
    <w:rsid w:val="004340C8"/>
    <w:rsid w:val="00437C59"/>
    <w:rsid w:val="00446C31"/>
    <w:rsid w:val="00451B06"/>
    <w:rsid w:val="004540EE"/>
    <w:rsid w:val="00466029"/>
    <w:rsid w:val="00467A3A"/>
    <w:rsid w:val="004738BC"/>
    <w:rsid w:val="0048507A"/>
    <w:rsid w:val="00491FFA"/>
    <w:rsid w:val="00495958"/>
    <w:rsid w:val="004A39A1"/>
    <w:rsid w:val="004A7B18"/>
    <w:rsid w:val="004B773D"/>
    <w:rsid w:val="004B78FA"/>
    <w:rsid w:val="004C1B42"/>
    <w:rsid w:val="004C2FFD"/>
    <w:rsid w:val="004C54B2"/>
    <w:rsid w:val="004D6FF3"/>
    <w:rsid w:val="004D72CA"/>
    <w:rsid w:val="00514B3B"/>
    <w:rsid w:val="00553503"/>
    <w:rsid w:val="00556FF5"/>
    <w:rsid w:val="00574C73"/>
    <w:rsid w:val="00575AC8"/>
    <w:rsid w:val="00581772"/>
    <w:rsid w:val="00584D88"/>
    <w:rsid w:val="00587168"/>
    <w:rsid w:val="005902E2"/>
    <w:rsid w:val="005965D6"/>
    <w:rsid w:val="005A7E4B"/>
    <w:rsid w:val="005C491D"/>
    <w:rsid w:val="005D075A"/>
    <w:rsid w:val="005E1AF9"/>
    <w:rsid w:val="005F0968"/>
    <w:rsid w:val="005F3B6B"/>
    <w:rsid w:val="00605150"/>
    <w:rsid w:val="00610506"/>
    <w:rsid w:val="006317AB"/>
    <w:rsid w:val="006318C9"/>
    <w:rsid w:val="006342A8"/>
    <w:rsid w:val="006350AB"/>
    <w:rsid w:val="00637ADC"/>
    <w:rsid w:val="00657E0A"/>
    <w:rsid w:val="00660E94"/>
    <w:rsid w:val="006761CD"/>
    <w:rsid w:val="00690080"/>
    <w:rsid w:val="00691D50"/>
    <w:rsid w:val="006965E7"/>
    <w:rsid w:val="006B7D67"/>
    <w:rsid w:val="006C418D"/>
    <w:rsid w:val="006D1B33"/>
    <w:rsid w:val="006D216F"/>
    <w:rsid w:val="006D3D24"/>
    <w:rsid w:val="006D509E"/>
    <w:rsid w:val="006F03B9"/>
    <w:rsid w:val="006F51AA"/>
    <w:rsid w:val="00702BA8"/>
    <w:rsid w:val="00712AAE"/>
    <w:rsid w:val="00721E88"/>
    <w:rsid w:val="007224EB"/>
    <w:rsid w:val="00725E07"/>
    <w:rsid w:val="0072777A"/>
    <w:rsid w:val="00730420"/>
    <w:rsid w:val="00732817"/>
    <w:rsid w:val="00735338"/>
    <w:rsid w:val="007367C1"/>
    <w:rsid w:val="007372CD"/>
    <w:rsid w:val="00742813"/>
    <w:rsid w:val="00743C62"/>
    <w:rsid w:val="00747E15"/>
    <w:rsid w:val="00753381"/>
    <w:rsid w:val="007812E4"/>
    <w:rsid w:val="00781DB6"/>
    <w:rsid w:val="00783ADA"/>
    <w:rsid w:val="00784FEC"/>
    <w:rsid w:val="0079146A"/>
    <w:rsid w:val="00796986"/>
    <w:rsid w:val="007A0A0E"/>
    <w:rsid w:val="007A2D9F"/>
    <w:rsid w:val="007A7935"/>
    <w:rsid w:val="007B2D94"/>
    <w:rsid w:val="007B72B7"/>
    <w:rsid w:val="007C3A4B"/>
    <w:rsid w:val="007E674C"/>
    <w:rsid w:val="007F05DC"/>
    <w:rsid w:val="007F4653"/>
    <w:rsid w:val="007F486F"/>
    <w:rsid w:val="00803A6A"/>
    <w:rsid w:val="00806379"/>
    <w:rsid w:val="00806AB0"/>
    <w:rsid w:val="00814FC5"/>
    <w:rsid w:val="00821DFE"/>
    <w:rsid w:val="00842AD9"/>
    <w:rsid w:val="00844195"/>
    <w:rsid w:val="0088235C"/>
    <w:rsid w:val="00887E97"/>
    <w:rsid w:val="00892297"/>
    <w:rsid w:val="008A3209"/>
    <w:rsid w:val="008A689A"/>
    <w:rsid w:val="008B49F2"/>
    <w:rsid w:val="008E0006"/>
    <w:rsid w:val="008E7AFD"/>
    <w:rsid w:val="008F7A19"/>
    <w:rsid w:val="00900022"/>
    <w:rsid w:val="00907C16"/>
    <w:rsid w:val="0091288E"/>
    <w:rsid w:val="00914F94"/>
    <w:rsid w:val="00920FF8"/>
    <w:rsid w:val="00923258"/>
    <w:rsid w:val="0092330C"/>
    <w:rsid w:val="00925096"/>
    <w:rsid w:val="0093043C"/>
    <w:rsid w:val="00930B50"/>
    <w:rsid w:val="009331AC"/>
    <w:rsid w:val="00933ABD"/>
    <w:rsid w:val="00941557"/>
    <w:rsid w:val="00957B5C"/>
    <w:rsid w:val="00960A76"/>
    <w:rsid w:val="00961315"/>
    <w:rsid w:val="0096155A"/>
    <w:rsid w:val="0096707E"/>
    <w:rsid w:val="00976495"/>
    <w:rsid w:val="00977AA9"/>
    <w:rsid w:val="00985B43"/>
    <w:rsid w:val="0099268F"/>
    <w:rsid w:val="00992C67"/>
    <w:rsid w:val="00994651"/>
    <w:rsid w:val="009A0441"/>
    <w:rsid w:val="009A1651"/>
    <w:rsid w:val="009A1E28"/>
    <w:rsid w:val="009C482A"/>
    <w:rsid w:val="009D1164"/>
    <w:rsid w:val="009E1E7B"/>
    <w:rsid w:val="009E28EF"/>
    <w:rsid w:val="009E48DB"/>
    <w:rsid w:val="009F16C9"/>
    <w:rsid w:val="009F2326"/>
    <w:rsid w:val="00A00212"/>
    <w:rsid w:val="00A032E0"/>
    <w:rsid w:val="00A05A71"/>
    <w:rsid w:val="00A16C84"/>
    <w:rsid w:val="00A20C0F"/>
    <w:rsid w:val="00A221AD"/>
    <w:rsid w:val="00A22C1A"/>
    <w:rsid w:val="00A25D53"/>
    <w:rsid w:val="00A36BDD"/>
    <w:rsid w:val="00A4578C"/>
    <w:rsid w:val="00A616F9"/>
    <w:rsid w:val="00A66F45"/>
    <w:rsid w:val="00A735E4"/>
    <w:rsid w:val="00A74958"/>
    <w:rsid w:val="00A82E23"/>
    <w:rsid w:val="00AB48A1"/>
    <w:rsid w:val="00AB53D1"/>
    <w:rsid w:val="00AC0790"/>
    <w:rsid w:val="00AC12D7"/>
    <w:rsid w:val="00AC7CDE"/>
    <w:rsid w:val="00AD558F"/>
    <w:rsid w:val="00AD5E04"/>
    <w:rsid w:val="00AD7F0D"/>
    <w:rsid w:val="00B020F5"/>
    <w:rsid w:val="00B06B93"/>
    <w:rsid w:val="00B15284"/>
    <w:rsid w:val="00B256B5"/>
    <w:rsid w:val="00B33523"/>
    <w:rsid w:val="00B4205F"/>
    <w:rsid w:val="00B42469"/>
    <w:rsid w:val="00B466B4"/>
    <w:rsid w:val="00B71F10"/>
    <w:rsid w:val="00B93E97"/>
    <w:rsid w:val="00BA2D90"/>
    <w:rsid w:val="00BA58F5"/>
    <w:rsid w:val="00BB248B"/>
    <w:rsid w:val="00BC3C60"/>
    <w:rsid w:val="00BC6C87"/>
    <w:rsid w:val="00BE070B"/>
    <w:rsid w:val="00BE1EDD"/>
    <w:rsid w:val="00BE6A47"/>
    <w:rsid w:val="00BF33D1"/>
    <w:rsid w:val="00BF403D"/>
    <w:rsid w:val="00BF7077"/>
    <w:rsid w:val="00C101CF"/>
    <w:rsid w:val="00C118E8"/>
    <w:rsid w:val="00C257ED"/>
    <w:rsid w:val="00C561DF"/>
    <w:rsid w:val="00C61B7B"/>
    <w:rsid w:val="00C715DB"/>
    <w:rsid w:val="00C720CE"/>
    <w:rsid w:val="00C85517"/>
    <w:rsid w:val="00C86E63"/>
    <w:rsid w:val="00C91AB5"/>
    <w:rsid w:val="00C95779"/>
    <w:rsid w:val="00CB3AEC"/>
    <w:rsid w:val="00CC33AD"/>
    <w:rsid w:val="00CC48F5"/>
    <w:rsid w:val="00CF3B2C"/>
    <w:rsid w:val="00D07160"/>
    <w:rsid w:val="00D10CF0"/>
    <w:rsid w:val="00D1212F"/>
    <w:rsid w:val="00D137A7"/>
    <w:rsid w:val="00D160FD"/>
    <w:rsid w:val="00D23DE7"/>
    <w:rsid w:val="00D30981"/>
    <w:rsid w:val="00D4526D"/>
    <w:rsid w:val="00D50E73"/>
    <w:rsid w:val="00D51247"/>
    <w:rsid w:val="00D5232C"/>
    <w:rsid w:val="00D570FB"/>
    <w:rsid w:val="00D57BDC"/>
    <w:rsid w:val="00D62D31"/>
    <w:rsid w:val="00D83948"/>
    <w:rsid w:val="00DA5D3B"/>
    <w:rsid w:val="00DB4B6B"/>
    <w:rsid w:val="00DC041F"/>
    <w:rsid w:val="00DC0BC9"/>
    <w:rsid w:val="00DE7BE6"/>
    <w:rsid w:val="00DF1029"/>
    <w:rsid w:val="00DF32AC"/>
    <w:rsid w:val="00E028E0"/>
    <w:rsid w:val="00E160D9"/>
    <w:rsid w:val="00E24F4A"/>
    <w:rsid w:val="00E27018"/>
    <w:rsid w:val="00E31B0A"/>
    <w:rsid w:val="00E40EB7"/>
    <w:rsid w:val="00E716F5"/>
    <w:rsid w:val="00E76F46"/>
    <w:rsid w:val="00E77447"/>
    <w:rsid w:val="00E935EE"/>
    <w:rsid w:val="00EA1F92"/>
    <w:rsid w:val="00EA7A9F"/>
    <w:rsid w:val="00EB262D"/>
    <w:rsid w:val="00EB5733"/>
    <w:rsid w:val="00EC16E4"/>
    <w:rsid w:val="00EC33D8"/>
    <w:rsid w:val="00ED276F"/>
    <w:rsid w:val="00EF28D6"/>
    <w:rsid w:val="00F00768"/>
    <w:rsid w:val="00F20317"/>
    <w:rsid w:val="00F217C2"/>
    <w:rsid w:val="00F2223F"/>
    <w:rsid w:val="00F24867"/>
    <w:rsid w:val="00F3232E"/>
    <w:rsid w:val="00F328DC"/>
    <w:rsid w:val="00F33FC4"/>
    <w:rsid w:val="00F438DB"/>
    <w:rsid w:val="00F4754D"/>
    <w:rsid w:val="00F54032"/>
    <w:rsid w:val="00F568C2"/>
    <w:rsid w:val="00F61C96"/>
    <w:rsid w:val="00F65572"/>
    <w:rsid w:val="00F65660"/>
    <w:rsid w:val="00F7336C"/>
    <w:rsid w:val="00FA0B51"/>
    <w:rsid w:val="00FB2BDB"/>
    <w:rsid w:val="00FB5E90"/>
    <w:rsid w:val="00FB7F1F"/>
    <w:rsid w:val="00FD1228"/>
    <w:rsid w:val="00FD7D2F"/>
    <w:rsid w:val="00FF1CCD"/>
    <w:rsid w:val="00FF5ED8"/>
    <w:rsid w:val="00FF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8909">
      <w:bodyDiv w:val="1"/>
      <w:marLeft w:val="0"/>
      <w:marRight w:val="0"/>
      <w:marTop w:val="0"/>
      <w:marBottom w:val="0"/>
      <w:divBdr>
        <w:top w:val="none" w:sz="0" w:space="0" w:color="auto"/>
        <w:left w:val="none" w:sz="0" w:space="0" w:color="auto"/>
        <w:bottom w:val="none" w:sz="0" w:space="0" w:color="auto"/>
        <w:right w:val="none" w:sz="0" w:space="0" w:color="auto"/>
      </w:divBdr>
    </w:div>
    <w:div w:id="63142137">
      <w:bodyDiv w:val="1"/>
      <w:marLeft w:val="0"/>
      <w:marRight w:val="0"/>
      <w:marTop w:val="0"/>
      <w:marBottom w:val="0"/>
      <w:divBdr>
        <w:top w:val="none" w:sz="0" w:space="0" w:color="auto"/>
        <w:left w:val="none" w:sz="0" w:space="0" w:color="auto"/>
        <w:bottom w:val="none" w:sz="0" w:space="0" w:color="auto"/>
        <w:right w:val="none" w:sz="0" w:space="0" w:color="auto"/>
      </w:divBdr>
    </w:div>
    <w:div w:id="206767094">
      <w:bodyDiv w:val="1"/>
      <w:marLeft w:val="0"/>
      <w:marRight w:val="0"/>
      <w:marTop w:val="0"/>
      <w:marBottom w:val="0"/>
      <w:divBdr>
        <w:top w:val="none" w:sz="0" w:space="0" w:color="auto"/>
        <w:left w:val="none" w:sz="0" w:space="0" w:color="auto"/>
        <w:bottom w:val="none" w:sz="0" w:space="0" w:color="auto"/>
        <w:right w:val="none" w:sz="0" w:space="0" w:color="auto"/>
      </w:divBdr>
    </w:div>
    <w:div w:id="278225019">
      <w:bodyDiv w:val="1"/>
      <w:marLeft w:val="0"/>
      <w:marRight w:val="0"/>
      <w:marTop w:val="0"/>
      <w:marBottom w:val="0"/>
      <w:divBdr>
        <w:top w:val="none" w:sz="0" w:space="0" w:color="auto"/>
        <w:left w:val="none" w:sz="0" w:space="0" w:color="auto"/>
        <w:bottom w:val="none" w:sz="0" w:space="0" w:color="auto"/>
        <w:right w:val="none" w:sz="0" w:space="0" w:color="auto"/>
      </w:divBdr>
    </w:div>
    <w:div w:id="280233646">
      <w:bodyDiv w:val="1"/>
      <w:marLeft w:val="0"/>
      <w:marRight w:val="0"/>
      <w:marTop w:val="0"/>
      <w:marBottom w:val="0"/>
      <w:divBdr>
        <w:top w:val="none" w:sz="0" w:space="0" w:color="auto"/>
        <w:left w:val="none" w:sz="0" w:space="0" w:color="auto"/>
        <w:bottom w:val="none" w:sz="0" w:space="0" w:color="auto"/>
        <w:right w:val="none" w:sz="0" w:space="0" w:color="auto"/>
      </w:divBdr>
    </w:div>
    <w:div w:id="355084502">
      <w:bodyDiv w:val="1"/>
      <w:marLeft w:val="0"/>
      <w:marRight w:val="0"/>
      <w:marTop w:val="0"/>
      <w:marBottom w:val="0"/>
      <w:divBdr>
        <w:top w:val="none" w:sz="0" w:space="0" w:color="auto"/>
        <w:left w:val="none" w:sz="0" w:space="0" w:color="auto"/>
        <w:bottom w:val="none" w:sz="0" w:space="0" w:color="auto"/>
        <w:right w:val="none" w:sz="0" w:space="0" w:color="auto"/>
      </w:divBdr>
    </w:div>
    <w:div w:id="384791115">
      <w:bodyDiv w:val="1"/>
      <w:marLeft w:val="0"/>
      <w:marRight w:val="0"/>
      <w:marTop w:val="0"/>
      <w:marBottom w:val="0"/>
      <w:divBdr>
        <w:top w:val="none" w:sz="0" w:space="0" w:color="auto"/>
        <w:left w:val="none" w:sz="0" w:space="0" w:color="auto"/>
        <w:bottom w:val="none" w:sz="0" w:space="0" w:color="auto"/>
        <w:right w:val="none" w:sz="0" w:space="0" w:color="auto"/>
      </w:divBdr>
    </w:div>
    <w:div w:id="401491719">
      <w:bodyDiv w:val="1"/>
      <w:marLeft w:val="0"/>
      <w:marRight w:val="0"/>
      <w:marTop w:val="0"/>
      <w:marBottom w:val="0"/>
      <w:divBdr>
        <w:top w:val="none" w:sz="0" w:space="0" w:color="auto"/>
        <w:left w:val="none" w:sz="0" w:space="0" w:color="auto"/>
        <w:bottom w:val="none" w:sz="0" w:space="0" w:color="auto"/>
        <w:right w:val="none" w:sz="0" w:space="0" w:color="auto"/>
      </w:divBdr>
    </w:div>
    <w:div w:id="508760500">
      <w:bodyDiv w:val="1"/>
      <w:marLeft w:val="0"/>
      <w:marRight w:val="0"/>
      <w:marTop w:val="0"/>
      <w:marBottom w:val="0"/>
      <w:divBdr>
        <w:top w:val="none" w:sz="0" w:space="0" w:color="auto"/>
        <w:left w:val="none" w:sz="0" w:space="0" w:color="auto"/>
        <w:bottom w:val="none" w:sz="0" w:space="0" w:color="auto"/>
        <w:right w:val="none" w:sz="0" w:space="0" w:color="auto"/>
      </w:divBdr>
    </w:div>
    <w:div w:id="536428884">
      <w:bodyDiv w:val="1"/>
      <w:marLeft w:val="0"/>
      <w:marRight w:val="0"/>
      <w:marTop w:val="0"/>
      <w:marBottom w:val="0"/>
      <w:divBdr>
        <w:top w:val="none" w:sz="0" w:space="0" w:color="auto"/>
        <w:left w:val="none" w:sz="0" w:space="0" w:color="auto"/>
        <w:bottom w:val="none" w:sz="0" w:space="0" w:color="auto"/>
        <w:right w:val="none" w:sz="0" w:space="0" w:color="auto"/>
      </w:divBdr>
    </w:div>
    <w:div w:id="550045622">
      <w:bodyDiv w:val="1"/>
      <w:marLeft w:val="0"/>
      <w:marRight w:val="0"/>
      <w:marTop w:val="0"/>
      <w:marBottom w:val="0"/>
      <w:divBdr>
        <w:top w:val="none" w:sz="0" w:space="0" w:color="auto"/>
        <w:left w:val="none" w:sz="0" w:space="0" w:color="auto"/>
        <w:bottom w:val="none" w:sz="0" w:space="0" w:color="auto"/>
        <w:right w:val="none" w:sz="0" w:space="0" w:color="auto"/>
      </w:divBdr>
    </w:div>
    <w:div w:id="568275169">
      <w:bodyDiv w:val="1"/>
      <w:marLeft w:val="0"/>
      <w:marRight w:val="0"/>
      <w:marTop w:val="0"/>
      <w:marBottom w:val="0"/>
      <w:divBdr>
        <w:top w:val="none" w:sz="0" w:space="0" w:color="auto"/>
        <w:left w:val="none" w:sz="0" w:space="0" w:color="auto"/>
        <w:bottom w:val="none" w:sz="0" w:space="0" w:color="auto"/>
        <w:right w:val="none" w:sz="0" w:space="0" w:color="auto"/>
      </w:divBdr>
    </w:div>
    <w:div w:id="647322714">
      <w:bodyDiv w:val="1"/>
      <w:marLeft w:val="0"/>
      <w:marRight w:val="0"/>
      <w:marTop w:val="0"/>
      <w:marBottom w:val="0"/>
      <w:divBdr>
        <w:top w:val="none" w:sz="0" w:space="0" w:color="auto"/>
        <w:left w:val="none" w:sz="0" w:space="0" w:color="auto"/>
        <w:bottom w:val="none" w:sz="0" w:space="0" w:color="auto"/>
        <w:right w:val="none" w:sz="0" w:space="0" w:color="auto"/>
      </w:divBdr>
    </w:div>
    <w:div w:id="654573849">
      <w:bodyDiv w:val="1"/>
      <w:marLeft w:val="0"/>
      <w:marRight w:val="0"/>
      <w:marTop w:val="0"/>
      <w:marBottom w:val="0"/>
      <w:divBdr>
        <w:top w:val="none" w:sz="0" w:space="0" w:color="auto"/>
        <w:left w:val="none" w:sz="0" w:space="0" w:color="auto"/>
        <w:bottom w:val="none" w:sz="0" w:space="0" w:color="auto"/>
        <w:right w:val="none" w:sz="0" w:space="0" w:color="auto"/>
      </w:divBdr>
    </w:div>
    <w:div w:id="684479599">
      <w:bodyDiv w:val="1"/>
      <w:marLeft w:val="0"/>
      <w:marRight w:val="0"/>
      <w:marTop w:val="0"/>
      <w:marBottom w:val="0"/>
      <w:divBdr>
        <w:top w:val="none" w:sz="0" w:space="0" w:color="auto"/>
        <w:left w:val="none" w:sz="0" w:space="0" w:color="auto"/>
        <w:bottom w:val="none" w:sz="0" w:space="0" w:color="auto"/>
        <w:right w:val="none" w:sz="0" w:space="0" w:color="auto"/>
      </w:divBdr>
    </w:div>
    <w:div w:id="692220714">
      <w:bodyDiv w:val="1"/>
      <w:marLeft w:val="0"/>
      <w:marRight w:val="0"/>
      <w:marTop w:val="0"/>
      <w:marBottom w:val="0"/>
      <w:divBdr>
        <w:top w:val="none" w:sz="0" w:space="0" w:color="auto"/>
        <w:left w:val="none" w:sz="0" w:space="0" w:color="auto"/>
        <w:bottom w:val="none" w:sz="0" w:space="0" w:color="auto"/>
        <w:right w:val="none" w:sz="0" w:space="0" w:color="auto"/>
      </w:divBdr>
    </w:div>
    <w:div w:id="712651871">
      <w:bodyDiv w:val="1"/>
      <w:marLeft w:val="0"/>
      <w:marRight w:val="0"/>
      <w:marTop w:val="0"/>
      <w:marBottom w:val="0"/>
      <w:divBdr>
        <w:top w:val="none" w:sz="0" w:space="0" w:color="auto"/>
        <w:left w:val="none" w:sz="0" w:space="0" w:color="auto"/>
        <w:bottom w:val="none" w:sz="0" w:space="0" w:color="auto"/>
        <w:right w:val="none" w:sz="0" w:space="0" w:color="auto"/>
      </w:divBdr>
    </w:div>
    <w:div w:id="750352317">
      <w:bodyDiv w:val="1"/>
      <w:marLeft w:val="0"/>
      <w:marRight w:val="0"/>
      <w:marTop w:val="0"/>
      <w:marBottom w:val="0"/>
      <w:divBdr>
        <w:top w:val="none" w:sz="0" w:space="0" w:color="auto"/>
        <w:left w:val="none" w:sz="0" w:space="0" w:color="auto"/>
        <w:bottom w:val="none" w:sz="0" w:space="0" w:color="auto"/>
        <w:right w:val="none" w:sz="0" w:space="0" w:color="auto"/>
      </w:divBdr>
    </w:div>
    <w:div w:id="767121800">
      <w:bodyDiv w:val="1"/>
      <w:marLeft w:val="0"/>
      <w:marRight w:val="0"/>
      <w:marTop w:val="0"/>
      <w:marBottom w:val="0"/>
      <w:divBdr>
        <w:top w:val="none" w:sz="0" w:space="0" w:color="auto"/>
        <w:left w:val="none" w:sz="0" w:space="0" w:color="auto"/>
        <w:bottom w:val="none" w:sz="0" w:space="0" w:color="auto"/>
        <w:right w:val="none" w:sz="0" w:space="0" w:color="auto"/>
      </w:divBdr>
    </w:div>
    <w:div w:id="848712787">
      <w:bodyDiv w:val="1"/>
      <w:marLeft w:val="0"/>
      <w:marRight w:val="0"/>
      <w:marTop w:val="0"/>
      <w:marBottom w:val="0"/>
      <w:divBdr>
        <w:top w:val="none" w:sz="0" w:space="0" w:color="auto"/>
        <w:left w:val="none" w:sz="0" w:space="0" w:color="auto"/>
        <w:bottom w:val="none" w:sz="0" w:space="0" w:color="auto"/>
        <w:right w:val="none" w:sz="0" w:space="0" w:color="auto"/>
      </w:divBdr>
    </w:div>
    <w:div w:id="850726842">
      <w:bodyDiv w:val="1"/>
      <w:marLeft w:val="0"/>
      <w:marRight w:val="0"/>
      <w:marTop w:val="0"/>
      <w:marBottom w:val="0"/>
      <w:divBdr>
        <w:top w:val="none" w:sz="0" w:space="0" w:color="auto"/>
        <w:left w:val="none" w:sz="0" w:space="0" w:color="auto"/>
        <w:bottom w:val="none" w:sz="0" w:space="0" w:color="auto"/>
        <w:right w:val="none" w:sz="0" w:space="0" w:color="auto"/>
      </w:divBdr>
    </w:div>
    <w:div w:id="854146831">
      <w:bodyDiv w:val="1"/>
      <w:marLeft w:val="0"/>
      <w:marRight w:val="0"/>
      <w:marTop w:val="0"/>
      <w:marBottom w:val="0"/>
      <w:divBdr>
        <w:top w:val="none" w:sz="0" w:space="0" w:color="auto"/>
        <w:left w:val="none" w:sz="0" w:space="0" w:color="auto"/>
        <w:bottom w:val="none" w:sz="0" w:space="0" w:color="auto"/>
        <w:right w:val="none" w:sz="0" w:space="0" w:color="auto"/>
      </w:divBdr>
    </w:div>
    <w:div w:id="875966793">
      <w:bodyDiv w:val="1"/>
      <w:marLeft w:val="0"/>
      <w:marRight w:val="0"/>
      <w:marTop w:val="0"/>
      <w:marBottom w:val="0"/>
      <w:divBdr>
        <w:top w:val="none" w:sz="0" w:space="0" w:color="auto"/>
        <w:left w:val="none" w:sz="0" w:space="0" w:color="auto"/>
        <w:bottom w:val="none" w:sz="0" w:space="0" w:color="auto"/>
        <w:right w:val="none" w:sz="0" w:space="0" w:color="auto"/>
      </w:divBdr>
    </w:div>
    <w:div w:id="1037124987">
      <w:bodyDiv w:val="1"/>
      <w:marLeft w:val="0"/>
      <w:marRight w:val="0"/>
      <w:marTop w:val="0"/>
      <w:marBottom w:val="0"/>
      <w:divBdr>
        <w:top w:val="none" w:sz="0" w:space="0" w:color="auto"/>
        <w:left w:val="none" w:sz="0" w:space="0" w:color="auto"/>
        <w:bottom w:val="none" w:sz="0" w:space="0" w:color="auto"/>
        <w:right w:val="none" w:sz="0" w:space="0" w:color="auto"/>
      </w:divBdr>
    </w:div>
    <w:div w:id="1077558174">
      <w:bodyDiv w:val="1"/>
      <w:marLeft w:val="0"/>
      <w:marRight w:val="0"/>
      <w:marTop w:val="0"/>
      <w:marBottom w:val="0"/>
      <w:divBdr>
        <w:top w:val="none" w:sz="0" w:space="0" w:color="auto"/>
        <w:left w:val="none" w:sz="0" w:space="0" w:color="auto"/>
        <w:bottom w:val="none" w:sz="0" w:space="0" w:color="auto"/>
        <w:right w:val="none" w:sz="0" w:space="0" w:color="auto"/>
      </w:divBdr>
    </w:div>
    <w:div w:id="1091119424">
      <w:bodyDiv w:val="1"/>
      <w:marLeft w:val="0"/>
      <w:marRight w:val="0"/>
      <w:marTop w:val="0"/>
      <w:marBottom w:val="0"/>
      <w:divBdr>
        <w:top w:val="none" w:sz="0" w:space="0" w:color="auto"/>
        <w:left w:val="none" w:sz="0" w:space="0" w:color="auto"/>
        <w:bottom w:val="none" w:sz="0" w:space="0" w:color="auto"/>
        <w:right w:val="none" w:sz="0" w:space="0" w:color="auto"/>
      </w:divBdr>
    </w:div>
    <w:div w:id="1098411140">
      <w:bodyDiv w:val="1"/>
      <w:marLeft w:val="0"/>
      <w:marRight w:val="0"/>
      <w:marTop w:val="0"/>
      <w:marBottom w:val="0"/>
      <w:divBdr>
        <w:top w:val="none" w:sz="0" w:space="0" w:color="auto"/>
        <w:left w:val="none" w:sz="0" w:space="0" w:color="auto"/>
        <w:bottom w:val="none" w:sz="0" w:space="0" w:color="auto"/>
        <w:right w:val="none" w:sz="0" w:space="0" w:color="auto"/>
      </w:divBdr>
    </w:div>
    <w:div w:id="1132165759">
      <w:bodyDiv w:val="1"/>
      <w:marLeft w:val="0"/>
      <w:marRight w:val="0"/>
      <w:marTop w:val="0"/>
      <w:marBottom w:val="0"/>
      <w:divBdr>
        <w:top w:val="none" w:sz="0" w:space="0" w:color="auto"/>
        <w:left w:val="none" w:sz="0" w:space="0" w:color="auto"/>
        <w:bottom w:val="none" w:sz="0" w:space="0" w:color="auto"/>
        <w:right w:val="none" w:sz="0" w:space="0" w:color="auto"/>
      </w:divBdr>
    </w:div>
    <w:div w:id="1137258959">
      <w:bodyDiv w:val="1"/>
      <w:marLeft w:val="0"/>
      <w:marRight w:val="0"/>
      <w:marTop w:val="0"/>
      <w:marBottom w:val="0"/>
      <w:divBdr>
        <w:top w:val="none" w:sz="0" w:space="0" w:color="auto"/>
        <w:left w:val="none" w:sz="0" w:space="0" w:color="auto"/>
        <w:bottom w:val="none" w:sz="0" w:space="0" w:color="auto"/>
        <w:right w:val="none" w:sz="0" w:space="0" w:color="auto"/>
      </w:divBdr>
    </w:div>
    <w:div w:id="1160198360">
      <w:bodyDiv w:val="1"/>
      <w:marLeft w:val="0"/>
      <w:marRight w:val="0"/>
      <w:marTop w:val="0"/>
      <w:marBottom w:val="0"/>
      <w:divBdr>
        <w:top w:val="none" w:sz="0" w:space="0" w:color="auto"/>
        <w:left w:val="none" w:sz="0" w:space="0" w:color="auto"/>
        <w:bottom w:val="none" w:sz="0" w:space="0" w:color="auto"/>
        <w:right w:val="none" w:sz="0" w:space="0" w:color="auto"/>
      </w:divBdr>
    </w:div>
    <w:div w:id="1169634359">
      <w:bodyDiv w:val="1"/>
      <w:marLeft w:val="0"/>
      <w:marRight w:val="0"/>
      <w:marTop w:val="0"/>
      <w:marBottom w:val="0"/>
      <w:divBdr>
        <w:top w:val="none" w:sz="0" w:space="0" w:color="auto"/>
        <w:left w:val="none" w:sz="0" w:space="0" w:color="auto"/>
        <w:bottom w:val="none" w:sz="0" w:space="0" w:color="auto"/>
        <w:right w:val="none" w:sz="0" w:space="0" w:color="auto"/>
      </w:divBdr>
    </w:div>
    <w:div w:id="1171260843">
      <w:bodyDiv w:val="1"/>
      <w:marLeft w:val="0"/>
      <w:marRight w:val="0"/>
      <w:marTop w:val="0"/>
      <w:marBottom w:val="0"/>
      <w:divBdr>
        <w:top w:val="none" w:sz="0" w:space="0" w:color="auto"/>
        <w:left w:val="none" w:sz="0" w:space="0" w:color="auto"/>
        <w:bottom w:val="none" w:sz="0" w:space="0" w:color="auto"/>
        <w:right w:val="none" w:sz="0" w:space="0" w:color="auto"/>
      </w:divBdr>
    </w:div>
    <w:div w:id="1193571914">
      <w:bodyDiv w:val="1"/>
      <w:marLeft w:val="0"/>
      <w:marRight w:val="0"/>
      <w:marTop w:val="0"/>
      <w:marBottom w:val="0"/>
      <w:divBdr>
        <w:top w:val="none" w:sz="0" w:space="0" w:color="auto"/>
        <w:left w:val="none" w:sz="0" w:space="0" w:color="auto"/>
        <w:bottom w:val="none" w:sz="0" w:space="0" w:color="auto"/>
        <w:right w:val="none" w:sz="0" w:space="0" w:color="auto"/>
      </w:divBdr>
    </w:div>
    <w:div w:id="1271082075">
      <w:bodyDiv w:val="1"/>
      <w:marLeft w:val="0"/>
      <w:marRight w:val="0"/>
      <w:marTop w:val="0"/>
      <w:marBottom w:val="0"/>
      <w:divBdr>
        <w:top w:val="none" w:sz="0" w:space="0" w:color="auto"/>
        <w:left w:val="none" w:sz="0" w:space="0" w:color="auto"/>
        <w:bottom w:val="none" w:sz="0" w:space="0" w:color="auto"/>
        <w:right w:val="none" w:sz="0" w:space="0" w:color="auto"/>
      </w:divBdr>
    </w:div>
    <w:div w:id="1313829020">
      <w:bodyDiv w:val="1"/>
      <w:marLeft w:val="0"/>
      <w:marRight w:val="0"/>
      <w:marTop w:val="0"/>
      <w:marBottom w:val="0"/>
      <w:divBdr>
        <w:top w:val="none" w:sz="0" w:space="0" w:color="auto"/>
        <w:left w:val="none" w:sz="0" w:space="0" w:color="auto"/>
        <w:bottom w:val="none" w:sz="0" w:space="0" w:color="auto"/>
        <w:right w:val="none" w:sz="0" w:space="0" w:color="auto"/>
      </w:divBdr>
    </w:div>
    <w:div w:id="1376463591">
      <w:bodyDiv w:val="1"/>
      <w:marLeft w:val="0"/>
      <w:marRight w:val="0"/>
      <w:marTop w:val="0"/>
      <w:marBottom w:val="0"/>
      <w:divBdr>
        <w:top w:val="none" w:sz="0" w:space="0" w:color="auto"/>
        <w:left w:val="none" w:sz="0" w:space="0" w:color="auto"/>
        <w:bottom w:val="none" w:sz="0" w:space="0" w:color="auto"/>
        <w:right w:val="none" w:sz="0" w:space="0" w:color="auto"/>
      </w:divBdr>
    </w:div>
    <w:div w:id="1466777094">
      <w:bodyDiv w:val="1"/>
      <w:marLeft w:val="0"/>
      <w:marRight w:val="0"/>
      <w:marTop w:val="0"/>
      <w:marBottom w:val="0"/>
      <w:divBdr>
        <w:top w:val="none" w:sz="0" w:space="0" w:color="auto"/>
        <w:left w:val="none" w:sz="0" w:space="0" w:color="auto"/>
        <w:bottom w:val="none" w:sz="0" w:space="0" w:color="auto"/>
        <w:right w:val="none" w:sz="0" w:space="0" w:color="auto"/>
      </w:divBdr>
    </w:div>
    <w:div w:id="1476869645">
      <w:bodyDiv w:val="1"/>
      <w:marLeft w:val="0"/>
      <w:marRight w:val="0"/>
      <w:marTop w:val="0"/>
      <w:marBottom w:val="0"/>
      <w:divBdr>
        <w:top w:val="none" w:sz="0" w:space="0" w:color="auto"/>
        <w:left w:val="none" w:sz="0" w:space="0" w:color="auto"/>
        <w:bottom w:val="none" w:sz="0" w:space="0" w:color="auto"/>
        <w:right w:val="none" w:sz="0" w:space="0" w:color="auto"/>
      </w:divBdr>
    </w:div>
    <w:div w:id="1484540852">
      <w:bodyDiv w:val="1"/>
      <w:marLeft w:val="0"/>
      <w:marRight w:val="0"/>
      <w:marTop w:val="0"/>
      <w:marBottom w:val="0"/>
      <w:divBdr>
        <w:top w:val="none" w:sz="0" w:space="0" w:color="auto"/>
        <w:left w:val="none" w:sz="0" w:space="0" w:color="auto"/>
        <w:bottom w:val="none" w:sz="0" w:space="0" w:color="auto"/>
        <w:right w:val="none" w:sz="0" w:space="0" w:color="auto"/>
      </w:divBdr>
    </w:div>
    <w:div w:id="1488978878">
      <w:bodyDiv w:val="1"/>
      <w:marLeft w:val="0"/>
      <w:marRight w:val="0"/>
      <w:marTop w:val="0"/>
      <w:marBottom w:val="0"/>
      <w:divBdr>
        <w:top w:val="none" w:sz="0" w:space="0" w:color="auto"/>
        <w:left w:val="none" w:sz="0" w:space="0" w:color="auto"/>
        <w:bottom w:val="none" w:sz="0" w:space="0" w:color="auto"/>
        <w:right w:val="none" w:sz="0" w:space="0" w:color="auto"/>
      </w:divBdr>
    </w:div>
    <w:div w:id="1506701779">
      <w:bodyDiv w:val="1"/>
      <w:marLeft w:val="0"/>
      <w:marRight w:val="0"/>
      <w:marTop w:val="0"/>
      <w:marBottom w:val="0"/>
      <w:divBdr>
        <w:top w:val="none" w:sz="0" w:space="0" w:color="auto"/>
        <w:left w:val="none" w:sz="0" w:space="0" w:color="auto"/>
        <w:bottom w:val="none" w:sz="0" w:space="0" w:color="auto"/>
        <w:right w:val="none" w:sz="0" w:space="0" w:color="auto"/>
      </w:divBdr>
    </w:div>
    <w:div w:id="1530412175">
      <w:bodyDiv w:val="1"/>
      <w:marLeft w:val="0"/>
      <w:marRight w:val="0"/>
      <w:marTop w:val="0"/>
      <w:marBottom w:val="0"/>
      <w:divBdr>
        <w:top w:val="none" w:sz="0" w:space="0" w:color="auto"/>
        <w:left w:val="none" w:sz="0" w:space="0" w:color="auto"/>
        <w:bottom w:val="none" w:sz="0" w:space="0" w:color="auto"/>
        <w:right w:val="none" w:sz="0" w:space="0" w:color="auto"/>
      </w:divBdr>
    </w:div>
    <w:div w:id="1544754381">
      <w:bodyDiv w:val="1"/>
      <w:marLeft w:val="0"/>
      <w:marRight w:val="0"/>
      <w:marTop w:val="0"/>
      <w:marBottom w:val="0"/>
      <w:divBdr>
        <w:top w:val="none" w:sz="0" w:space="0" w:color="auto"/>
        <w:left w:val="none" w:sz="0" w:space="0" w:color="auto"/>
        <w:bottom w:val="none" w:sz="0" w:space="0" w:color="auto"/>
        <w:right w:val="none" w:sz="0" w:space="0" w:color="auto"/>
      </w:divBdr>
    </w:div>
    <w:div w:id="1563642169">
      <w:bodyDiv w:val="1"/>
      <w:marLeft w:val="0"/>
      <w:marRight w:val="0"/>
      <w:marTop w:val="0"/>
      <w:marBottom w:val="0"/>
      <w:divBdr>
        <w:top w:val="none" w:sz="0" w:space="0" w:color="auto"/>
        <w:left w:val="none" w:sz="0" w:space="0" w:color="auto"/>
        <w:bottom w:val="none" w:sz="0" w:space="0" w:color="auto"/>
        <w:right w:val="none" w:sz="0" w:space="0" w:color="auto"/>
      </w:divBdr>
    </w:div>
    <w:div w:id="1580290220">
      <w:bodyDiv w:val="1"/>
      <w:marLeft w:val="0"/>
      <w:marRight w:val="0"/>
      <w:marTop w:val="0"/>
      <w:marBottom w:val="0"/>
      <w:divBdr>
        <w:top w:val="none" w:sz="0" w:space="0" w:color="auto"/>
        <w:left w:val="none" w:sz="0" w:space="0" w:color="auto"/>
        <w:bottom w:val="none" w:sz="0" w:space="0" w:color="auto"/>
        <w:right w:val="none" w:sz="0" w:space="0" w:color="auto"/>
      </w:divBdr>
    </w:div>
    <w:div w:id="1632248537">
      <w:bodyDiv w:val="1"/>
      <w:marLeft w:val="0"/>
      <w:marRight w:val="0"/>
      <w:marTop w:val="0"/>
      <w:marBottom w:val="0"/>
      <w:divBdr>
        <w:top w:val="none" w:sz="0" w:space="0" w:color="auto"/>
        <w:left w:val="none" w:sz="0" w:space="0" w:color="auto"/>
        <w:bottom w:val="none" w:sz="0" w:space="0" w:color="auto"/>
        <w:right w:val="none" w:sz="0" w:space="0" w:color="auto"/>
      </w:divBdr>
    </w:div>
    <w:div w:id="1645504694">
      <w:bodyDiv w:val="1"/>
      <w:marLeft w:val="0"/>
      <w:marRight w:val="0"/>
      <w:marTop w:val="0"/>
      <w:marBottom w:val="0"/>
      <w:divBdr>
        <w:top w:val="none" w:sz="0" w:space="0" w:color="auto"/>
        <w:left w:val="none" w:sz="0" w:space="0" w:color="auto"/>
        <w:bottom w:val="none" w:sz="0" w:space="0" w:color="auto"/>
        <w:right w:val="none" w:sz="0" w:space="0" w:color="auto"/>
      </w:divBdr>
    </w:div>
    <w:div w:id="1646085758">
      <w:bodyDiv w:val="1"/>
      <w:marLeft w:val="0"/>
      <w:marRight w:val="0"/>
      <w:marTop w:val="0"/>
      <w:marBottom w:val="0"/>
      <w:divBdr>
        <w:top w:val="none" w:sz="0" w:space="0" w:color="auto"/>
        <w:left w:val="none" w:sz="0" w:space="0" w:color="auto"/>
        <w:bottom w:val="none" w:sz="0" w:space="0" w:color="auto"/>
        <w:right w:val="none" w:sz="0" w:space="0" w:color="auto"/>
      </w:divBdr>
    </w:div>
    <w:div w:id="1668098543">
      <w:bodyDiv w:val="1"/>
      <w:marLeft w:val="0"/>
      <w:marRight w:val="0"/>
      <w:marTop w:val="0"/>
      <w:marBottom w:val="0"/>
      <w:divBdr>
        <w:top w:val="none" w:sz="0" w:space="0" w:color="auto"/>
        <w:left w:val="none" w:sz="0" w:space="0" w:color="auto"/>
        <w:bottom w:val="none" w:sz="0" w:space="0" w:color="auto"/>
        <w:right w:val="none" w:sz="0" w:space="0" w:color="auto"/>
      </w:divBdr>
    </w:div>
    <w:div w:id="1683193739">
      <w:bodyDiv w:val="1"/>
      <w:marLeft w:val="0"/>
      <w:marRight w:val="0"/>
      <w:marTop w:val="0"/>
      <w:marBottom w:val="0"/>
      <w:divBdr>
        <w:top w:val="none" w:sz="0" w:space="0" w:color="auto"/>
        <w:left w:val="none" w:sz="0" w:space="0" w:color="auto"/>
        <w:bottom w:val="none" w:sz="0" w:space="0" w:color="auto"/>
        <w:right w:val="none" w:sz="0" w:space="0" w:color="auto"/>
      </w:divBdr>
    </w:div>
    <w:div w:id="1730763362">
      <w:bodyDiv w:val="1"/>
      <w:marLeft w:val="0"/>
      <w:marRight w:val="0"/>
      <w:marTop w:val="0"/>
      <w:marBottom w:val="0"/>
      <w:divBdr>
        <w:top w:val="none" w:sz="0" w:space="0" w:color="auto"/>
        <w:left w:val="none" w:sz="0" w:space="0" w:color="auto"/>
        <w:bottom w:val="none" w:sz="0" w:space="0" w:color="auto"/>
        <w:right w:val="none" w:sz="0" w:space="0" w:color="auto"/>
      </w:divBdr>
    </w:div>
    <w:div w:id="1740320375">
      <w:bodyDiv w:val="1"/>
      <w:marLeft w:val="0"/>
      <w:marRight w:val="0"/>
      <w:marTop w:val="0"/>
      <w:marBottom w:val="0"/>
      <w:divBdr>
        <w:top w:val="none" w:sz="0" w:space="0" w:color="auto"/>
        <w:left w:val="none" w:sz="0" w:space="0" w:color="auto"/>
        <w:bottom w:val="none" w:sz="0" w:space="0" w:color="auto"/>
        <w:right w:val="none" w:sz="0" w:space="0" w:color="auto"/>
      </w:divBdr>
    </w:div>
    <w:div w:id="1753308009">
      <w:bodyDiv w:val="1"/>
      <w:marLeft w:val="0"/>
      <w:marRight w:val="0"/>
      <w:marTop w:val="0"/>
      <w:marBottom w:val="0"/>
      <w:divBdr>
        <w:top w:val="none" w:sz="0" w:space="0" w:color="auto"/>
        <w:left w:val="none" w:sz="0" w:space="0" w:color="auto"/>
        <w:bottom w:val="none" w:sz="0" w:space="0" w:color="auto"/>
        <w:right w:val="none" w:sz="0" w:space="0" w:color="auto"/>
      </w:divBdr>
    </w:div>
    <w:div w:id="1805342481">
      <w:bodyDiv w:val="1"/>
      <w:marLeft w:val="0"/>
      <w:marRight w:val="0"/>
      <w:marTop w:val="0"/>
      <w:marBottom w:val="0"/>
      <w:divBdr>
        <w:top w:val="none" w:sz="0" w:space="0" w:color="auto"/>
        <w:left w:val="none" w:sz="0" w:space="0" w:color="auto"/>
        <w:bottom w:val="none" w:sz="0" w:space="0" w:color="auto"/>
        <w:right w:val="none" w:sz="0" w:space="0" w:color="auto"/>
      </w:divBdr>
    </w:div>
    <w:div w:id="1836991820">
      <w:bodyDiv w:val="1"/>
      <w:marLeft w:val="0"/>
      <w:marRight w:val="0"/>
      <w:marTop w:val="0"/>
      <w:marBottom w:val="0"/>
      <w:divBdr>
        <w:top w:val="none" w:sz="0" w:space="0" w:color="auto"/>
        <w:left w:val="none" w:sz="0" w:space="0" w:color="auto"/>
        <w:bottom w:val="none" w:sz="0" w:space="0" w:color="auto"/>
        <w:right w:val="none" w:sz="0" w:space="0" w:color="auto"/>
      </w:divBdr>
    </w:div>
    <w:div w:id="1884639035">
      <w:bodyDiv w:val="1"/>
      <w:marLeft w:val="0"/>
      <w:marRight w:val="0"/>
      <w:marTop w:val="0"/>
      <w:marBottom w:val="0"/>
      <w:divBdr>
        <w:top w:val="none" w:sz="0" w:space="0" w:color="auto"/>
        <w:left w:val="none" w:sz="0" w:space="0" w:color="auto"/>
        <w:bottom w:val="none" w:sz="0" w:space="0" w:color="auto"/>
        <w:right w:val="none" w:sz="0" w:space="0" w:color="auto"/>
      </w:divBdr>
    </w:div>
    <w:div w:id="1887643235">
      <w:bodyDiv w:val="1"/>
      <w:marLeft w:val="0"/>
      <w:marRight w:val="0"/>
      <w:marTop w:val="0"/>
      <w:marBottom w:val="0"/>
      <w:divBdr>
        <w:top w:val="none" w:sz="0" w:space="0" w:color="auto"/>
        <w:left w:val="none" w:sz="0" w:space="0" w:color="auto"/>
        <w:bottom w:val="none" w:sz="0" w:space="0" w:color="auto"/>
        <w:right w:val="none" w:sz="0" w:space="0" w:color="auto"/>
      </w:divBdr>
    </w:div>
    <w:div w:id="1928348421">
      <w:bodyDiv w:val="1"/>
      <w:marLeft w:val="0"/>
      <w:marRight w:val="0"/>
      <w:marTop w:val="0"/>
      <w:marBottom w:val="0"/>
      <w:divBdr>
        <w:top w:val="none" w:sz="0" w:space="0" w:color="auto"/>
        <w:left w:val="none" w:sz="0" w:space="0" w:color="auto"/>
        <w:bottom w:val="none" w:sz="0" w:space="0" w:color="auto"/>
        <w:right w:val="none" w:sz="0" w:space="0" w:color="auto"/>
      </w:divBdr>
    </w:div>
    <w:div w:id="1931813265">
      <w:bodyDiv w:val="1"/>
      <w:marLeft w:val="0"/>
      <w:marRight w:val="0"/>
      <w:marTop w:val="0"/>
      <w:marBottom w:val="0"/>
      <w:divBdr>
        <w:top w:val="none" w:sz="0" w:space="0" w:color="auto"/>
        <w:left w:val="none" w:sz="0" w:space="0" w:color="auto"/>
        <w:bottom w:val="none" w:sz="0" w:space="0" w:color="auto"/>
        <w:right w:val="none" w:sz="0" w:space="0" w:color="auto"/>
      </w:divBdr>
    </w:div>
    <w:div w:id="1968269511">
      <w:bodyDiv w:val="1"/>
      <w:marLeft w:val="0"/>
      <w:marRight w:val="0"/>
      <w:marTop w:val="0"/>
      <w:marBottom w:val="0"/>
      <w:divBdr>
        <w:top w:val="none" w:sz="0" w:space="0" w:color="auto"/>
        <w:left w:val="none" w:sz="0" w:space="0" w:color="auto"/>
        <w:bottom w:val="none" w:sz="0" w:space="0" w:color="auto"/>
        <w:right w:val="none" w:sz="0" w:space="0" w:color="auto"/>
      </w:divBdr>
    </w:div>
    <w:div w:id="1996835264">
      <w:bodyDiv w:val="1"/>
      <w:marLeft w:val="0"/>
      <w:marRight w:val="0"/>
      <w:marTop w:val="0"/>
      <w:marBottom w:val="0"/>
      <w:divBdr>
        <w:top w:val="none" w:sz="0" w:space="0" w:color="auto"/>
        <w:left w:val="none" w:sz="0" w:space="0" w:color="auto"/>
        <w:bottom w:val="none" w:sz="0" w:space="0" w:color="auto"/>
        <w:right w:val="none" w:sz="0" w:space="0" w:color="auto"/>
      </w:divBdr>
    </w:div>
    <w:div w:id="2048720905">
      <w:bodyDiv w:val="1"/>
      <w:marLeft w:val="0"/>
      <w:marRight w:val="0"/>
      <w:marTop w:val="0"/>
      <w:marBottom w:val="0"/>
      <w:divBdr>
        <w:top w:val="none" w:sz="0" w:space="0" w:color="auto"/>
        <w:left w:val="none" w:sz="0" w:space="0" w:color="auto"/>
        <w:bottom w:val="none" w:sz="0" w:space="0" w:color="auto"/>
        <w:right w:val="none" w:sz="0" w:space="0" w:color="auto"/>
      </w:divBdr>
    </w:div>
    <w:div w:id="2112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投资理财团队</cp:lastModifiedBy>
  <cp:revision>2</cp:revision>
  <cp:lastPrinted>2019-09-03T02:43:00Z</cp:lastPrinted>
  <dcterms:created xsi:type="dcterms:W3CDTF">2020-01-13T06:41:00Z</dcterms:created>
  <dcterms:modified xsi:type="dcterms:W3CDTF">2020-01-13T06:41:00Z</dcterms:modified>
</cp:coreProperties>
</file>