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720" w:firstLineChars="200"/>
        <w:jc w:val="center"/>
        <w:rPr>
          <w:rFonts w:hint="eastAsia" w:ascii="方正中等线_GBK" w:hAnsi="方正中等线_GBK" w:eastAsia="方正中等线_GBK" w:cs="方正中等线_GBK"/>
          <w:iCs w:val="0"/>
          <w:color w:val="auto"/>
          <w:sz w:val="36"/>
          <w:szCs w:val="36"/>
          <w:lang w:val="en-US" w:eastAsia="zh-CN"/>
        </w:rPr>
      </w:pPr>
      <w:r>
        <w:rPr>
          <w:rFonts w:hint="eastAsia" w:ascii="方正中等线_GBK" w:hAnsi="方正中等线_GBK" w:eastAsia="方正中等线_GBK" w:cs="方正中等线_GBK"/>
          <w:iCs w:val="0"/>
          <w:color w:val="auto"/>
          <w:sz w:val="36"/>
          <w:szCs w:val="36"/>
          <w:lang w:val="en-US" w:eastAsia="zh-CN"/>
        </w:rPr>
        <w:t>关于防范养老领域金融诈骗的风险提示</w:t>
      </w:r>
    </w:p>
    <w:p>
      <w:pPr>
        <w:spacing w:line="360" w:lineRule="auto"/>
        <w:ind w:firstLine="560" w:firstLineChars="200"/>
        <w:rPr>
          <w:rFonts w:hint="eastAsia" w:ascii="方正中等线_GBK" w:hAnsi="方正中等线_GBK" w:eastAsia="方正中等线_GBK" w:cs="方正中等线_GBK"/>
          <w:iCs w:val="0"/>
          <w:color w:val="auto"/>
          <w:sz w:val="28"/>
          <w:szCs w:val="28"/>
          <w:lang w:val="en-US" w:eastAsia="zh-CN"/>
        </w:rPr>
      </w:pPr>
    </w:p>
    <w:p>
      <w:pPr>
        <w:spacing w:line="360" w:lineRule="auto"/>
        <w:ind w:firstLine="560" w:firstLineChars="200"/>
        <w:rPr>
          <w:rFonts w:hint="eastAsia" w:ascii="方正中等线_GBK" w:hAnsi="方正中等线_GBK" w:eastAsia="方正中等线_GBK" w:cs="方正中等线_GBK"/>
          <w:iCs w:val="0"/>
          <w:color w:val="auto"/>
          <w:sz w:val="28"/>
          <w:szCs w:val="28"/>
          <w:lang w:val="en-US" w:eastAsia="zh-CN"/>
        </w:rPr>
      </w:pPr>
      <w:r>
        <w:rPr>
          <w:rFonts w:hint="eastAsia" w:ascii="方正中等线_GBK" w:hAnsi="方正中等线_GBK" w:eastAsia="方正中等线_GBK" w:cs="方正中等线_GBK"/>
          <w:iCs w:val="0"/>
          <w:color w:val="auto"/>
          <w:sz w:val="28"/>
          <w:szCs w:val="28"/>
          <w:lang w:val="en-US" w:eastAsia="zh-CN"/>
        </w:rPr>
        <w:t>随着老年人口增多、长寿时代到来，养老话题越来越受到大众的关注。2023年10月30日，中央金融工作会议首次将养老金融列入国家金融的重点工作。随着国家层面重视程度不断提升，如何高质量发展养老金融成为焦点。与此同时,一些不法机构打着“养老服务、健康养老、投资养老”等旗号，利用老年人对于“养老享福、可靠养老”的需求心理，实施侵害老年人合法权益的各类诈骗违法犯罪行为。老年人对各类诈骗手段“防不胜防”，最终落入不法者所设圈套，使得一辈子的资金心血落得“竹篮打水一场空”。常见的养老骗局有以下几种：</w:t>
      </w:r>
    </w:p>
    <w:p>
      <w:pPr>
        <w:spacing w:line="360" w:lineRule="auto"/>
        <w:ind w:firstLine="562" w:firstLineChars="200"/>
        <w:rPr>
          <w:rFonts w:hint="eastAsia" w:ascii="方正中等线_GBK" w:hAnsi="方正中等线_GBK" w:eastAsia="方正中等线_GBK" w:cs="方正中等线_GBK"/>
          <w:iCs w:val="0"/>
          <w:color w:val="auto"/>
          <w:sz w:val="28"/>
          <w:szCs w:val="28"/>
          <w:lang w:val="en-US" w:eastAsia="zh-CN"/>
        </w:rPr>
      </w:pPr>
      <w:r>
        <w:rPr>
          <w:rFonts w:hint="eastAsia" w:ascii="方正中等线_GBK" w:hAnsi="方正中等线_GBK" w:eastAsia="方正中等线_GBK" w:cs="方正中等线_GBK"/>
          <w:b/>
          <w:bCs/>
          <w:iCs w:val="0"/>
          <w:color w:val="auto"/>
          <w:sz w:val="28"/>
          <w:szCs w:val="28"/>
          <w:lang w:val="en-US" w:eastAsia="zh-CN"/>
        </w:rPr>
        <w:t>骗局一：投资养老骗局。</w:t>
      </w:r>
      <w:r>
        <w:rPr>
          <w:rFonts w:hint="eastAsia" w:ascii="方正中等线_GBK" w:hAnsi="方正中等线_GBK" w:eastAsia="方正中等线_GBK" w:cs="方正中等线_GBK"/>
          <w:iCs w:val="0"/>
          <w:color w:val="auto"/>
          <w:sz w:val="28"/>
          <w:szCs w:val="28"/>
          <w:lang w:val="en-US" w:eastAsia="zh-CN"/>
        </w:rPr>
        <w:t>不法机构通过组织旅游、参观、讲座、赠送礼品等手段博取老年人信任，以投资“养老服务”的项目为骗局，利用“投资一定金额后，不仅可以享受利息，还能获得某地的房屋居住权”“投资越多，福利越好”等话术触动老年人“投资理财和养老享福”的心理。但实际上所谓的“养老服务”项目只是虚无缥缈的“空中楼阁”，不法分子只会给予老年人口头承诺或是签订空头合同，大量资金未能得到有效监管，存在巨大风险隐患，所谓“高额返利”属于拆东墙补西墙，资金安全无法保障。</w:t>
      </w:r>
    </w:p>
    <w:p>
      <w:pPr>
        <w:spacing w:line="360" w:lineRule="auto"/>
        <w:ind w:firstLine="562" w:firstLineChars="200"/>
        <w:rPr>
          <w:rFonts w:hint="eastAsia" w:ascii="方正中等线_GBK" w:hAnsi="方正中等线_GBK" w:eastAsia="方正中等线_GBK" w:cs="方正中等线_GBK"/>
          <w:iCs w:val="0"/>
          <w:color w:val="auto"/>
          <w:sz w:val="28"/>
          <w:szCs w:val="28"/>
          <w:lang w:val="en-US" w:eastAsia="zh-CN"/>
        </w:rPr>
      </w:pPr>
      <w:r>
        <w:rPr>
          <w:rFonts w:hint="eastAsia" w:ascii="方正中等线_GBK" w:hAnsi="方正中等线_GBK" w:eastAsia="方正中等线_GBK" w:cs="方正中等线_GBK"/>
          <w:b/>
          <w:bCs/>
          <w:iCs w:val="0"/>
          <w:color w:val="auto"/>
          <w:sz w:val="28"/>
          <w:szCs w:val="28"/>
          <w:lang w:val="en-US" w:eastAsia="zh-CN"/>
        </w:rPr>
        <w:t>骗局二：保险投资骗局。</w:t>
      </w:r>
      <w:r>
        <w:rPr>
          <w:rFonts w:hint="eastAsia" w:ascii="方正中等线_GBK" w:hAnsi="方正中等线_GBK" w:eastAsia="方正中等线_GBK" w:cs="方正中等线_GBK"/>
          <w:iCs w:val="0"/>
          <w:color w:val="auto"/>
          <w:sz w:val="28"/>
          <w:szCs w:val="28"/>
          <w:lang w:val="en-US" w:eastAsia="zh-CN"/>
        </w:rPr>
        <w:t>不法分子冒充金融机构人员，以代办“养老保险”、“补办养老金”“保单分红”等名义联系老年保险消费者，收取老年人的“材料费”、“好处费”，并针对消费者已购买的正规保险产品进行贬低及误导，诱导老年人办理退保或者保单质押，转投其推荐的“高收益分红产品”，以非法占有为目的诈骗受害人交纳的保险金，导致消费者无法得到正常的保险保障，严重威胁消费者的资金安全。</w:t>
      </w:r>
    </w:p>
    <w:p>
      <w:pPr>
        <w:spacing w:line="360" w:lineRule="auto"/>
        <w:ind w:firstLine="562" w:firstLineChars="200"/>
        <w:rPr>
          <w:rFonts w:hint="eastAsia" w:ascii="方正中等线_GBK" w:hAnsi="方正中等线_GBK" w:eastAsia="方正中等线_GBK" w:cs="方正中等线_GBK"/>
          <w:iCs w:val="0"/>
          <w:color w:val="auto"/>
          <w:sz w:val="28"/>
          <w:szCs w:val="28"/>
          <w:lang w:val="en-US" w:eastAsia="zh-CN"/>
        </w:rPr>
      </w:pPr>
      <w:r>
        <w:rPr>
          <w:rFonts w:hint="eastAsia" w:ascii="方正中等线_GBK" w:hAnsi="方正中等线_GBK" w:eastAsia="方正中等线_GBK" w:cs="方正中等线_GBK"/>
          <w:b/>
          <w:bCs/>
          <w:iCs w:val="0"/>
          <w:color w:val="auto"/>
          <w:sz w:val="28"/>
          <w:szCs w:val="28"/>
          <w:lang w:val="en-US" w:eastAsia="zh-CN"/>
        </w:rPr>
        <w:t>骗局三：扶贫基金骗局。</w:t>
      </w:r>
      <w:r>
        <w:rPr>
          <w:rFonts w:hint="eastAsia" w:ascii="方正中等线_GBK" w:hAnsi="方正中等线_GBK" w:eastAsia="方正中等线_GBK" w:cs="方正中等线_GBK"/>
          <w:iCs w:val="0"/>
          <w:color w:val="auto"/>
          <w:sz w:val="28"/>
          <w:szCs w:val="28"/>
          <w:lang w:val="en-US" w:eastAsia="zh-CN"/>
        </w:rPr>
        <w:t>不法分子打着“扶贫”旗号，一人分饰多角，冒充金融机构人员和国家机关人员，以扶贫投资为由，许诺高额回报，诱骗老年人购买“老人扶贫基金”“扶贫社保”等产品，给老年人造成重大经济损失。</w:t>
      </w:r>
    </w:p>
    <w:p>
      <w:pPr>
        <w:spacing w:line="360" w:lineRule="auto"/>
        <w:ind w:firstLine="562" w:firstLineChars="200"/>
        <w:rPr>
          <w:rFonts w:hint="eastAsia" w:ascii="方正中等线_GBK" w:hAnsi="方正中等线_GBK" w:eastAsia="方正中等线_GBK" w:cs="方正中等线_GBK"/>
          <w:iCs w:val="0"/>
          <w:color w:val="auto"/>
          <w:sz w:val="28"/>
          <w:szCs w:val="28"/>
          <w:lang w:val="en-US" w:eastAsia="zh-CN"/>
        </w:rPr>
      </w:pPr>
      <w:r>
        <w:rPr>
          <w:rFonts w:hint="eastAsia" w:ascii="方正中等线_GBK" w:hAnsi="方正中等线_GBK" w:eastAsia="方正中等线_GBK" w:cs="方正中等线_GBK"/>
          <w:b/>
          <w:bCs/>
          <w:iCs w:val="0"/>
          <w:color w:val="auto"/>
          <w:sz w:val="28"/>
          <w:szCs w:val="28"/>
          <w:lang w:val="en-US" w:eastAsia="zh-CN"/>
        </w:rPr>
        <w:t>骗局四：保健产品骗局。</w:t>
      </w:r>
      <w:r>
        <w:rPr>
          <w:rFonts w:hint="eastAsia" w:ascii="方正中等线_GBK" w:hAnsi="方正中等线_GBK" w:eastAsia="方正中等线_GBK" w:cs="方正中等线_GBK"/>
          <w:iCs w:val="0"/>
          <w:color w:val="auto"/>
          <w:sz w:val="28"/>
          <w:szCs w:val="28"/>
          <w:lang w:val="en-US" w:eastAsia="zh-CN"/>
        </w:rPr>
        <w:t>不法分子抓住老年人对健康的渴望心理，通过组织“专家”讲座、免费体检等方式吸引老年人参与活动，借机推销能够“包治百病”“延年益寿”的高价保健品，不仅骗取老人钱财，还对老年人的身心造成不可挽回的损害。</w:t>
      </w:r>
    </w:p>
    <w:p>
      <w:pPr>
        <w:spacing w:line="360" w:lineRule="auto"/>
        <w:ind w:firstLine="560" w:firstLineChars="200"/>
        <w:rPr>
          <w:rFonts w:hint="eastAsia" w:ascii="方正中等线_GBK" w:hAnsi="方正中等线_GBK" w:eastAsia="方正中等线_GBK" w:cs="方正中等线_GBK"/>
          <w:iCs w:val="0"/>
          <w:color w:val="auto"/>
          <w:sz w:val="28"/>
          <w:szCs w:val="28"/>
          <w:lang w:val="en-US" w:eastAsia="zh-CN"/>
        </w:rPr>
      </w:pPr>
      <w:r>
        <w:rPr>
          <w:rFonts w:hint="eastAsia" w:ascii="方正中等线_GBK" w:hAnsi="方正中等线_GBK" w:eastAsia="方正中等线_GBK" w:cs="方正中等线_GBK"/>
          <w:iCs w:val="0"/>
          <w:color w:val="auto"/>
          <w:sz w:val="28"/>
          <w:szCs w:val="28"/>
          <w:lang w:val="en-US" w:eastAsia="zh-CN"/>
        </w:rPr>
        <w:t>针对养老领域的诈骗风险，呼吁广大老年消费者及家属提高警惕，增强风险意识和识别能力，做到不轻信、不转账、不捡漏，按照防范诈骗“四不法”，保护好金融财产安全：</w:t>
      </w:r>
    </w:p>
    <w:p>
      <w:pPr>
        <w:spacing w:line="360" w:lineRule="auto"/>
        <w:ind w:firstLine="562" w:firstLineChars="200"/>
        <w:rPr>
          <w:rFonts w:hint="eastAsia" w:ascii="方正中等线_GBK" w:hAnsi="方正中等线_GBK" w:eastAsia="方正中等线_GBK" w:cs="方正中等线_GBK"/>
          <w:iCs w:val="0"/>
          <w:color w:val="auto"/>
          <w:sz w:val="28"/>
          <w:szCs w:val="28"/>
          <w:lang w:val="en-US" w:eastAsia="zh-CN"/>
        </w:rPr>
      </w:pPr>
      <w:r>
        <w:rPr>
          <w:rFonts w:hint="eastAsia" w:ascii="方正中等线_GBK" w:hAnsi="方正中等线_GBK" w:eastAsia="方正中等线_GBK" w:cs="方正中等线_GBK"/>
          <w:b/>
          <w:bCs/>
          <w:iCs w:val="0"/>
          <w:color w:val="auto"/>
          <w:sz w:val="28"/>
          <w:szCs w:val="28"/>
          <w:lang w:val="en-US" w:eastAsia="zh-CN"/>
        </w:rPr>
        <w:t>1.非法机构的金融广告，不看！</w:t>
      </w:r>
      <w:r>
        <w:rPr>
          <w:rFonts w:hint="eastAsia" w:ascii="方正中等线_GBK" w:hAnsi="方正中等线_GBK" w:eastAsia="方正中等线_GBK" w:cs="方正中等线_GBK"/>
          <w:iCs w:val="0"/>
          <w:color w:val="auto"/>
          <w:sz w:val="28"/>
          <w:szCs w:val="28"/>
          <w:lang w:val="en-US" w:eastAsia="zh-CN"/>
        </w:rPr>
        <w:t>目前，正规金融机构均实行“双录”制度，银行从业人员在销售相关产品时，销售过程需进行录音录像，明确告知金融消费者购买的是保险产品还是理财产品。广大老年消费者要时刻提高自己的防诈“免疫力”，学会识别金融广告真伪，避免被虚假广告误导。当发现非法融资广告或违法行为，及时向当地金融监管部门举报，保护自身的合法权益。</w:t>
      </w:r>
    </w:p>
    <w:p>
      <w:pPr>
        <w:spacing w:line="360" w:lineRule="auto"/>
        <w:ind w:firstLine="562" w:firstLineChars="200"/>
        <w:rPr>
          <w:rFonts w:hint="eastAsia" w:ascii="方正中等线_GBK" w:hAnsi="方正中等线_GBK" w:eastAsia="方正中等线_GBK" w:cs="方正中等线_GBK"/>
          <w:iCs w:val="0"/>
          <w:color w:val="auto"/>
          <w:sz w:val="28"/>
          <w:szCs w:val="28"/>
          <w:lang w:val="en-US" w:eastAsia="zh-CN"/>
        </w:rPr>
      </w:pPr>
      <w:r>
        <w:rPr>
          <w:rFonts w:hint="eastAsia" w:ascii="方正中等线_GBK" w:hAnsi="方正中等线_GBK" w:eastAsia="方正中等线_GBK" w:cs="方正中等线_GBK"/>
          <w:b/>
          <w:bCs/>
          <w:iCs w:val="0"/>
          <w:color w:val="auto"/>
          <w:sz w:val="28"/>
          <w:szCs w:val="28"/>
          <w:lang w:val="en-US" w:eastAsia="zh-CN"/>
        </w:rPr>
        <w:t>2.天花乱坠的投资诱惑，不听！</w:t>
      </w:r>
      <w:r>
        <w:rPr>
          <w:rFonts w:hint="eastAsia" w:ascii="方正中等线_GBK" w:hAnsi="方正中等线_GBK" w:eastAsia="方正中等线_GBK" w:cs="方正中等线_GBK"/>
          <w:iCs w:val="0"/>
          <w:color w:val="auto"/>
          <w:sz w:val="28"/>
          <w:szCs w:val="28"/>
          <w:lang w:val="en-US" w:eastAsia="zh-CN"/>
        </w:rPr>
        <w:t>在进行金融投资时，老年消费者应与家人进行充分沟通，共同决策。投资前应核实投资机构和人员的资质，查询相关部门官方网站，了解机构和人员注册信息、经营范围以及是否有不良记录；不要轻易相信“天花乱坠”的投资建议，需谨记“思想防范松，钱财一朝空”，应选择与自身风险偏好相符的产品，避免盲目投资和冲动交易。</w:t>
      </w:r>
    </w:p>
    <w:p>
      <w:pPr>
        <w:spacing w:line="360" w:lineRule="auto"/>
        <w:ind w:firstLine="562" w:firstLineChars="200"/>
        <w:rPr>
          <w:rFonts w:hint="eastAsia" w:ascii="方正中等线_GBK" w:hAnsi="方正中等线_GBK" w:eastAsia="方正中等线_GBK" w:cs="方正中等线_GBK"/>
          <w:iCs w:val="0"/>
          <w:color w:val="auto"/>
          <w:sz w:val="28"/>
          <w:szCs w:val="28"/>
          <w:lang w:val="en-US" w:eastAsia="zh-CN"/>
        </w:rPr>
      </w:pPr>
      <w:r>
        <w:rPr>
          <w:rFonts w:hint="eastAsia" w:ascii="方正中等线_GBK" w:hAnsi="方正中等线_GBK" w:eastAsia="方正中等线_GBK" w:cs="方正中等线_GBK"/>
          <w:b/>
          <w:bCs/>
          <w:iCs w:val="0"/>
          <w:color w:val="auto"/>
          <w:sz w:val="28"/>
          <w:szCs w:val="28"/>
          <w:lang w:val="en-US" w:eastAsia="zh-CN"/>
        </w:rPr>
        <w:t>3.来路不明的集资信息，不信！</w:t>
      </w:r>
      <w:r>
        <w:rPr>
          <w:rFonts w:hint="eastAsia" w:ascii="方正中等线_GBK" w:hAnsi="方正中等线_GBK" w:eastAsia="方正中等线_GBK" w:cs="方正中等线_GBK"/>
          <w:iCs w:val="0"/>
          <w:color w:val="auto"/>
          <w:sz w:val="28"/>
          <w:szCs w:val="28"/>
          <w:lang w:val="en-US" w:eastAsia="zh-CN"/>
        </w:rPr>
        <w:t>参与非法集资活动是违法行为，因参与非法金融集资活动受到的损失，由参与者自行承担，不受法律保护。在参与金融投资时，老年消费者应通过正规金融渠道，投资前应充分了解产品性质、风险和收益情况，根据自身的经济状况和风险承受能力做出决策，避免落入非法集资和传销陷阱。</w:t>
      </w:r>
    </w:p>
    <w:p>
      <w:pPr>
        <w:spacing w:line="360" w:lineRule="auto"/>
        <w:ind w:firstLine="562" w:firstLineChars="200"/>
        <w:rPr>
          <w:rFonts w:hint="eastAsia" w:ascii="方正中等线_GBK" w:hAnsi="方正中等线_GBK" w:eastAsia="方正中等线_GBK" w:cs="方正中等线_GBK"/>
          <w:iCs w:val="0"/>
          <w:color w:val="auto"/>
          <w:sz w:val="28"/>
          <w:szCs w:val="28"/>
          <w:lang w:val="en-US" w:eastAsia="zh-CN"/>
        </w:rPr>
      </w:pPr>
      <w:r>
        <w:rPr>
          <w:rFonts w:hint="eastAsia" w:ascii="方正中等线_GBK" w:hAnsi="方正中等线_GBK" w:eastAsia="方正中等线_GBK" w:cs="方正中等线_GBK"/>
          <w:b/>
          <w:bCs/>
          <w:iCs w:val="0"/>
          <w:color w:val="auto"/>
          <w:sz w:val="28"/>
          <w:szCs w:val="28"/>
          <w:lang w:val="en-US" w:eastAsia="zh-CN"/>
        </w:rPr>
        <w:t>4.夸大收益的金融产品，不买！</w:t>
      </w:r>
      <w:r>
        <w:rPr>
          <w:rFonts w:hint="eastAsia" w:ascii="方正中等线_GBK" w:hAnsi="方正中等线_GBK" w:eastAsia="方正中等线_GBK" w:cs="方正中等线_GBK"/>
          <w:iCs w:val="0"/>
          <w:color w:val="auto"/>
          <w:sz w:val="28"/>
          <w:szCs w:val="28"/>
          <w:lang w:val="en-US" w:eastAsia="zh-CN"/>
        </w:rPr>
        <w:t>高回报往往伴随着高风险，“利”字当头，“醒”字当记。投资金融产品前，在面对高回报承诺时，应保持清醒的头脑，不要相信不切实际的投资回报。对于各种投资建议，应保持审慎态度，不要轻信所谓的“内幕消息”、“独家推荐”等，牢记“丢包分钱是陷阱，天上不会掉馅饼”，相信“天上掉馅饼”最后只能“哑巴吃黄连”。</w:t>
      </w:r>
    </w:p>
    <w:p>
      <w:pPr>
        <w:spacing w:line="360" w:lineRule="auto"/>
        <w:ind w:firstLine="560" w:firstLineChars="200"/>
        <w:rPr>
          <w:rFonts w:hint="eastAsia" w:ascii="方正中等线_GBK" w:hAnsi="方正中等线_GBK" w:eastAsia="方正中等线_GBK" w:cs="方正中等线_GBK"/>
          <w:iCs w:val="0"/>
          <w:color w:val="auto"/>
          <w:sz w:val="28"/>
          <w:szCs w:val="28"/>
          <w:lang w:val="en-US" w:eastAsia="zh-CN"/>
        </w:rPr>
      </w:pPr>
    </w:p>
    <w:p>
      <w:pPr>
        <w:spacing w:line="360" w:lineRule="auto"/>
        <w:ind w:firstLine="560" w:firstLineChars="200"/>
        <w:rPr>
          <w:rFonts w:ascii="黑体" w:hAnsi="黑体" w:eastAsia="黑体" w:cs="黑体"/>
          <w:color w:val="auto"/>
        </w:rPr>
      </w:pPr>
      <w:r>
        <w:rPr>
          <w:rFonts w:hint="eastAsia" w:ascii="方正中等线_GBK" w:hAnsi="方正中等线_GBK" w:eastAsia="方正中等线_GBK" w:cs="方正中等线_GBK"/>
          <w:iCs w:val="0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/>
          <w:color w:val="auto"/>
        </w:rPr>
        <w:t xml:space="preserve">                           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彩虹小标宋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彩虹粗仿宋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中等线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626"/>
    <w:rsid w:val="00007D8F"/>
    <w:rsid w:val="00134A49"/>
    <w:rsid w:val="00140DE8"/>
    <w:rsid w:val="001C1626"/>
    <w:rsid w:val="002862C5"/>
    <w:rsid w:val="002C2F0E"/>
    <w:rsid w:val="002F54FD"/>
    <w:rsid w:val="003846E2"/>
    <w:rsid w:val="00470C69"/>
    <w:rsid w:val="00544519"/>
    <w:rsid w:val="00611FD6"/>
    <w:rsid w:val="00625B2D"/>
    <w:rsid w:val="00666FCD"/>
    <w:rsid w:val="00680125"/>
    <w:rsid w:val="006A221D"/>
    <w:rsid w:val="006F502C"/>
    <w:rsid w:val="007206DC"/>
    <w:rsid w:val="008576A4"/>
    <w:rsid w:val="00A40EB6"/>
    <w:rsid w:val="00AC3D77"/>
    <w:rsid w:val="00B05BE1"/>
    <w:rsid w:val="00B218D5"/>
    <w:rsid w:val="00BE1720"/>
    <w:rsid w:val="00D35970"/>
    <w:rsid w:val="00D42B17"/>
    <w:rsid w:val="00DC4C79"/>
    <w:rsid w:val="00EA0F6E"/>
    <w:rsid w:val="00F13208"/>
    <w:rsid w:val="00FC486C"/>
    <w:rsid w:val="00FE1DC9"/>
    <w:rsid w:val="0160084E"/>
    <w:rsid w:val="02AD34F4"/>
    <w:rsid w:val="042C3965"/>
    <w:rsid w:val="077559CB"/>
    <w:rsid w:val="07CE3ADB"/>
    <w:rsid w:val="09B82702"/>
    <w:rsid w:val="0A054BE4"/>
    <w:rsid w:val="0ACB34C4"/>
    <w:rsid w:val="0B987394"/>
    <w:rsid w:val="0D010EE5"/>
    <w:rsid w:val="0D173089"/>
    <w:rsid w:val="0D706F9B"/>
    <w:rsid w:val="0E1A7433"/>
    <w:rsid w:val="0E565F93"/>
    <w:rsid w:val="121214F5"/>
    <w:rsid w:val="12126CB4"/>
    <w:rsid w:val="13FF15D9"/>
    <w:rsid w:val="17685577"/>
    <w:rsid w:val="17F141D6"/>
    <w:rsid w:val="18270E2D"/>
    <w:rsid w:val="1A101FD2"/>
    <w:rsid w:val="1AFD3EB7"/>
    <w:rsid w:val="1CAA6093"/>
    <w:rsid w:val="1EF30556"/>
    <w:rsid w:val="1F663C32"/>
    <w:rsid w:val="2234192D"/>
    <w:rsid w:val="224A3AD1"/>
    <w:rsid w:val="23AB4992"/>
    <w:rsid w:val="23AC2413"/>
    <w:rsid w:val="23E3036F"/>
    <w:rsid w:val="2537799C"/>
    <w:rsid w:val="25EA7C1D"/>
    <w:rsid w:val="26013B8C"/>
    <w:rsid w:val="295B4BE8"/>
    <w:rsid w:val="29FC6970"/>
    <w:rsid w:val="2C6609A6"/>
    <w:rsid w:val="2FD33202"/>
    <w:rsid w:val="329B0193"/>
    <w:rsid w:val="3331778D"/>
    <w:rsid w:val="336F7271"/>
    <w:rsid w:val="38EC419A"/>
    <w:rsid w:val="393E49BC"/>
    <w:rsid w:val="3A935D24"/>
    <w:rsid w:val="3BC52C1E"/>
    <w:rsid w:val="3C440F6E"/>
    <w:rsid w:val="3CA339C6"/>
    <w:rsid w:val="3EEB7C02"/>
    <w:rsid w:val="41D11F0A"/>
    <w:rsid w:val="42F71CEC"/>
    <w:rsid w:val="47B0742C"/>
    <w:rsid w:val="49234C78"/>
    <w:rsid w:val="49C91EAA"/>
    <w:rsid w:val="4A144698"/>
    <w:rsid w:val="4B652D40"/>
    <w:rsid w:val="4BD74134"/>
    <w:rsid w:val="4E175B2C"/>
    <w:rsid w:val="4ED27795"/>
    <w:rsid w:val="50566C17"/>
    <w:rsid w:val="512C1158"/>
    <w:rsid w:val="53424C8B"/>
    <w:rsid w:val="53431F26"/>
    <w:rsid w:val="53955F69"/>
    <w:rsid w:val="59694BF8"/>
    <w:rsid w:val="5A041F9C"/>
    <w:rsid w:val="5B3B333C"/>
    <w:rsid w:val="5BA44364"/>
    <w:rsid w:val="5C3D63E1"/>
    <w:rsid w:val="5F88394B"/>
    <w:rsid w:val="615E224C"/>
    <w:rsid w:val="61A73945"/>
    <w:rsid w:val="63841BD1"/>
    <w:rsid w:val="6444420E"/>
    <w:rsid w:val="649D39A3"/>
    <w:rsid w:val="65A478BB"/>
    <w:rsid w:val="65BD3F77"/>
    <w:rsid w:val="6748255D"/>
    <w:rsid w:val="6A9E35F8"/>
    <w:rsid w:val="6C0A3B4F"/>
    <w:rsid w:val="6E4C5EDF"/>
    <w:rsid w:val="6E7D35D3"/>
    <w:rsid w:val="6ED22CDD"/>
    <w:rsid w:val="6FF90541"/>
    <w:rsid w:val="7012146B"/>
    <w:rsid w:val="701A42F9"/>
    <w:rsid w:val="70D31529"/>
    <w:rsid w:val="71791CB7"/>
    <w:rsid w:val="73357A0F"/>
    <w:rsid w:val="7541206D"/>
    <w:rsid w:val="76255B63"/>
    <w:rsid w:val="76903014"/>
    <w:rsid w:val="76A1752D"/>
    <w:rsid w:val="7A6A0DAE"/>
    <w:rsid w:val="7B0C08EF"/>
    <w:rsid w:val="7B7D7929"/>
    <w:rsid w:val="7C63309F"/>
    <w:rsid w:val="7DAA6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304</Words>
  <Characters>1739</Characters>
  <Lines>14</Lines>
  <Paragraphs>4</Paragraphs>
  <TotalTime>1</TotalTime>
  <ScaleCrop>false</ScaleCrop>
  <LinksUpToDate>false</LinksUpToDate>
  <CharactersWithSpaces>2039</CharactersWithSpaces>
  <Application>WPS Office_12.8.2.15209_F1E327BC-269C-435d-A152-05C5408002CA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2024-03-04T03:48:00Z</dcterms:created>
  <dc:creator>智慧 杨</dc:creator>
  <cp:lastModifiedBy>消费者权益保护科</cp:lastModifiedBy>
  <dcterms:modified xsi:type="dcterms:W3CDTF">2024-11-29T08:10:02Z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2052-12.8.2.15209</vt:lpwstr>
  </property>
  <property fmtid="{D5CDD505-2E9C-101B-9397-08002B2CF9AE}" pid="3" name="ICV">
    <vt:lpwstr>AA621073925E48FAAB0AA188803C9E71_12</vt:lpwstr>
  </property>
</Properties>
</file>